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FA" w:rsidRPr="00CA55B0" w:rsidRDefault="000A6140" w:rsidP="00F32EFA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bCs/>
          <w:color w:val="000000"/>
          <w:u w:val="single"/>
        </w:rPr>
        <w:t>PURPOSE:</w:t>
      </w:r>
      <w:r w:rsidRPr="00BA724A">
        <w:rPr>
          <w:rFonts w:ascii="Garamond" w:hAnsi="Garamond"/>
          <w:color w:val="000000"/>
        </w:rPr>
        <w:t xml:space="preserve">  </w:t>
      </w:r>
      <w:r w:rsidR="00F32EFA" w:rsidRPr="00CA55B0">
        <w:rPr>
          <w:rFonts w:ascii="Garamond" w:hAnsi="Garamond"/>
          <w:bCs/>
          <w:color w:val="000000"/>
        </w:rPr>
        <w:t>To</w:t>
      </w:r>
      <w:r w:rsidR="00F32EFA" w:rsidRPr="00CA55B0">
        <w:rPr>
          <w:rFonts w:ascii="Garamond" w:hAnsi="Garamond"/>
          <w:color w:val="000000"/>
        </w:rPr>
        <w:t xml:space="preserve"> ensure that </w:t>
      </w:r>
      <w:r w:rsidR="00F32EFA">
        <w:rPr>
          <w:rFonts w:ascii="Garamond" w:hAnsi="Garamond"/>
          <w:color w:val="000000"/>
        </w:rPr>
        <w:t xml:space="preserve">proper subjects/patients are recruited for </w:t>
      </w:r>
      <w:r w:rsidR="00F32EFA" w:rsidRPr="00CA55B0">
        <w:rPr>
          <w:rFonts w:ascii="Garamond" w:hAnsi="Garamond"/>
          <w:color w:val="000000"/>
        </w:rPr>
        <w:t>a</w:t>
      </w:r>
      <w:r w:rsidR="00F32EFA">
        <w:rPr>
          <w:rFonts w:ascii="Garamond" w:hAnsi="Garamond"/>
          <w:color w:val="000000"/>
        </w:rPr>
        <w:t>ll clinical trials</w:t>
      </w:r>
      <w:r w:rsidR="00F32EFA" w:rsidRPr="00CA55B0">
        <w:rPr>
          <w:rFonts w:ascii="Garamond" w:hAnsi="Garamond"/>
          <w:color w:val="000000"/>
        </w:rPr>
        <w:t>.</w:t>
      </w: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F32EFA" w:rsidRPr="00CA55B0" w:rsidRDefault="000A6140" w:rsidP="00F32EFA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>SCOPE:</w:t>
      </w:r>
      <w:r w:rsidRPr="00BA724A">
        <w:rPr>
          <w:rFonts w:ascii="Garamond" w:hAnsi="Garamond"/>
          <w:color w:val="000000"/>
        </w:rPr>
        <w:t xml:space="preserve"> </w:t>
      </w:r>
      <w:r w:rsidR="00F32EFA" w:rsidRPr="00CA55B0">
        <w:rPr>
          <w:rFonts w:ascii="Garamond" w:hAnsi="Garamond"/>
          <w:color w:val="000000"/>
        </w:rPr>
        <w:t xml:space="preserve">Applies to all site personnel involved in the implementation and coordination of clinical research.     </w:t>
      </w: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0A6140" w:rsidRPr="00BA724A" w:rsidRDefault="000A6140" w:rsidP="00E54354">
      <w:pPr>
        <w:rPr>
          <w:rFonts w:ascii="Garamond" w:hAnsi="Garamond"/>
          <w:color w:val="000000"/>
        </w:rPr>
      </w:pPr>
    </w:p>
    <w:p w:rsidR="000A6140" w:rsidRPr="00BA724A" w:rsidRDefault="000A6140" w:rsidP="00E54354">
      <w:pPr>
        <w:rPr>
          <w:rFonts w:ascii="Garamond" w:hAnsi="Garamond"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 xml:space="preserve">PERSONNEL RESPONSIBLE: </w:t>
      </w:r>
      <w:r w:rsidR="005B552F">
        <w:rPr>
          <w:rFonts w:ascii="Garamond" w:hAnsi="Garamond"/>
          <w:color w:val="000000"/>
        </w:rPr>
        <w:t xml:space="preserve"> Principal Investigator, Sub-I</w:t>
      </w:r>
      <w:r w:rsidRPr="00BA724A">
        <w:rPr>
          <w:rFonts w:ascii="Garamond" w:hAnsi="Garamond"/>
          <w:color w:val="000000"/>
        </w:rPr>
        <w:t xml:space="preserve">nvestigators, Study Coordinator and/or other pertinent </w:t>
      </w:r>
      <w:r w:rsidR="00461604">
        <w:rPr>
          <w:rFonts w:ascii="Garamond" w:hAnsi="Garamond"/>
          <w:color w:val="000000"/>
        </w:rPr>
        <w:t>staff who will conduct research.</w:t>
      </w:r>
      <w:r w:rsidRPr="00BA724A">
        <w:rPr>
          <w:rFonts w:ascii="Garamond" w:hAnsi="Garamond"/>
          <w:color w:val="000000"/>
        </w:rPr>
        <w:t xml:space="preserve">   </w:t>
      </w:r>
    </w:p>
    <w:p w:rsidR="00E54354" w:rsidRPr="00BA724A" w:rsidRDefault="00E54354" w:rsidP="00E54354">
      <w:pPr>
        <w:rPr>
          <w:rFonts w:ascii="Garamond" w:hAnsi="Garamond"/>
          <w:b/>
          <w:color w:val="000000"/>
          <w:u w:val="single"/>
        </w:rPr>
      </w:pPr>
    </w:p>
    <w:p w:rsidR="000A6140" w:rsidRDefault="000A6140" w:rsidP="00E54354">
      <w:pPr>
        <w:rPr>
          <w:rFonts w:ascii="Garamond" w:hAnsi="Garamond"/>
          <w:b/>
          <w:bCs/>
          <w:color w:val="000000"/>
          <w:u w:val="single"/>
        </w:rPr>
      </w:pPr>
      <w:r w:rsidRPr="00BA724A">
        <w:rPr>
          <w:rFonts w:ascii="Garamond" w:hAnsi="Garamond"/>
          <w:b/>
          <w:bCs/>
          <w:color w:val="000000"/>
          <w:u w:val="single"/>
        </w:rPr>
        <w:t xml:space="preserve">PROCEDURES: </w:t>
      </w:r>
    </w:p>
    <w:p w:rsidR="00F32EFA" w:rsidRPr="00F32EFA" w:rsidRDefault="00F32EFA" w:rsidP="00F32EFA">
      <w:pPr>
        <w:numPr>
          <w:ilvl w:val="0"/>
          <w:numId w:val="7"/>
        </w:numPr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Cs/>
          <w:color w:val="000000"/>
        </w:rPr>
        <w:t>Subjects will be recruited either by the principal investigator’s clinic, database, or physician referral.</w:t>
      </w:r>
    </w:p>
    <w:p w:rsidR="00F32EFA" w:rsidRPr="00F32EFA" w:rsidRDefault="00F32EFA" w:rsidP="00F32EFA">
      <w:pPr>
        <w:numPr>
          <w:ilvl w:val="0"/>
          <w:numId w:val="7"/>
        </w:numPr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Cs/>
          <w:color w:val="000000"/>
        </w:rPr>
        <w:t xml:space="preserve">Potential subjects will not be coerced to participate in a clinical but given as an option for </w:t>
      </w:r>
      <w:r w:rsidR="005B552F">
        <w:rPr>
          <w:rFonts w:ascii="Garamond" w:hAnsi="Garamond"/>
          <w:bCs/>
          <w:color w:val="000000"/>
        </w:rPr>
        <w:t>study participation</w:t>
      </w:r>
      <w:r>
        <w:rPr>
          <w:rFonts w:ascii="Garamond" w:hAnsi="Garamond"/>
          <w:bCs/>
          <w:color w:val="000000"/>
        </w:rPr>
        <w:t>.</w:t>
      </w:r>
    </w:p>
    <w:p w:rsidR="00F32EFA" w:rsidRPr="00BA724A" w:rsidRDefault="005B552F" w:rsidP="00F32EFA">
      <w:pPr>
        <w:numPr>
          <w:ilvl w:val="0"/>
          <w:numId w:val="7"/>
        </w:numPr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Cs/>
          <w:color w:val="000000"/>
        </w:rPr>
        <w:t xml:space="preserve">Subjects will </w:t>
      </w:r>
      <w:r w:rsidR="00F32EFA">
        <w:rPr>
          <w:rFonts w:ascii="Garamond" w:hAnsi="Garamond"/>
          <w:bCs/>
          <w:color w:val="000000"/>
        </w:rPr>
        <w:t xml:space="preserve">be recruited </w:t>
      </w:r>
      <w:r>
        <w:rPr>
          <w:rFonts w:ascii="Garamond" w:hAnsi="Garamond"/>
          <w:bCs/>
          <w:color w:val="000000"/>
        </w:rPr>
        <w:t>in accordance with protocol-specific requirements</w:t>
      </w:r>
      <w:r w:rsidR="007209C3">
        <w:rPr>
          <w:rFonts w:ascii="Garamond" w:hAnsi="Garamond"/>
          <w:bCs/>
          <w:color w:val="000000"/>
        </w:rPr>
        <w:t>.</w:t>
      </w:r>
    </w:p>
    <w:p w:rsidR="00857215" w:rsidRPr="00BA724A" w:rsidRDefault="00857215" w:rsidP="00857215">
      <w:pPr>
        <w:ind w:left="360"/>
        <w:rPr>
          <w:rFonts w:ascii="Garamond" w:hAnsi="Garamond"/>
          <w:color w:val="000000"/>
        </w:rPr>
      </w:pPr>
    </w:p>
    <w:p w:rsidR="000A6140" w:rsidRPr="00BA724A" w:rsidRDefault="00B56429" w:rsidP="00E54354">
      <w:pPr>
        <w:rPr>
          <w:rFonts w:ascii="Garamond" w:hAnsi="Garamond"/>
          <w:b/>
          <w:color w:val="000000"/>
        </w:rPr>
      </w:pPr>
      <w:r w:rsidRPr="00BA724A">
        <w:rPr>
          <w:rFonts w:ascii="Garamond" w:hAnsi="Garamond"/>
          <w:b/>
          <w:color w:val="000000"/>
          <w:u w:val="single"/>
        </w:rPr>
        <w:t>RESOURCES:</w:t>
      </w:r>
      <w:r w:rsidRPr="00BA724A">
        <w:rPr>
          <w:rFonts w:ascii="Garamond" w:hAnsi="Garamond"/>
          <w:b/>
          <w:color w:val="000000"/>
        </w:rPr>
        <w:t xml:space="preserve"> </w:t>
      </w:r>
    </w:p>
    <w:p w:rsidR="00E54354" w:rsidRDefault="007209C3" w:rsidP="007209C3">
      <w:pPr>
        <w:numPr>
          <w:ilvl w:val="0"/>
          <w:numId w:val="8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21 CFR 312.60- General responsibilities of Investigators</w:t>
      </w:r>
    </w:p>
    <w:p w:rsidR="007209C3" w:rsidRPr="00BA724A" w:rsidRDefault="007209C3" w:rsidP="007209C3">
      <w:pPr>
        <w:ind w:left="60"/>
        <w:rPr>
          <w:rFonts w:ascii="Garamond" w:hAnsi="Garamond"/>
          <w:color w:val="000000"/>
        </w:rPr>
      </w:pPr>
    </w:p>
    <w:p w:rsidR="000A6140" w:rsidRDefault="000A6140" w:rsidP="00E54354">
      <w:pPr>
        <w:rPr>
          <w:rFonts w:ascii="Garamond" w:hAnsi="Garamond"/>
          <w:b/>
          <w:color w:val="000000"/>
          <w:u w:val="single"/>
        </w:rPr>
      </w:pPr>
      <w:r w:rsidRPr="00BA724A">
        <w:rPr>
          <w:rFonts w:ascii="Garamond" w:hAnsi="Garamond"/>
          <w:b/>
          <w:color w:val="000000"/>
          <w:u w:val="single"/>
        </w:rPr>
        <w:t>TOOLS</w:t>
      </w:r>
      <w:r w:rsidR="00461604">
        <w:rPr>
          <w:rFonts w:ascii="Garamond" w:hAnsi="Garamond"/>
          <w:b/>
          <w:color w:val="000000"/>
          <w:u w:val="single"/>
        </w:rPr>
        <w:t>:</w:t>
      </w:r>
    </w:p>
    <w:p w:rsidR="007209C3" w:rsidRPr="007209C3" w:rsidRDefault="007209C3" w:rsidP="007209C3">
      <w:pPr>
        <w:numPr>
          <w:ilvl w:val="0"/>
          <w:numId w:val="8"/>
        </w:numPr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color w:val="000000"/>
        </w:rPr>
        <w:t>Clinical database</w:t>
      </w:r>
    </w:p>
    <w:p w:rsidR="007209C3" w:rsidRPr="00BA724A" w:rsidRDefault="007209C3" w:rsidP="007209C3">
      <w:pPr>
        <w:numPr>
          <w:ilvl w:val="0"/>
          <w:numId w:val="8"/>
        </w:numPr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color w:val="000000"/>
        </w:rPr>
        <w:t>Advertisements</w:t>
      </w:r>
    </w:p>
    <w:sectPr w:rsidR="007209C3" w:rsidRPr="00BA724A" w:rsidSect="00860C46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61" w:rsidRDefault="00C95061">
      <w:r>
        <w:separator/>
      </w:r>
    </w:p>
  </w:endnote>
  <w:endnote w:type="continuationSeparator" w:id="0">
    <w:p w:rsidR="00C95061" w:rsidRDefault="00C9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67" w:rsidRDefault="00735E67"/>
  <w:tbl>
    <w:tblPr>
      <w:tblW w:w="5000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2666"/>
      <w:gridCol w:w="2651"/>
      <w:gridCol w:w="4163"/>
    </w:tblGrid>
    <w:tr w:rsidR="00735E67" w:rsidRPr="00BA724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Effective Date:</w:t>
          </w: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Revision Date:</w:t>
          </w: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 xml:space="preserve">Addresses </w:t>
          </w:r>
        </w:p>
      </w:tc>
    </w:tr>
    <w:tr w:rsidR="00735E67" w:rsidRPr="00BA724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color w:val="000000"/>
            </w:rPr>
          </w:pP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color w:val="000000"/>
            </w:rPr>
          </w:pP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color w:val="000000"/>
            </w:rPr>
          </w:pPr>
        </w:p>
      </w:tc>
    </w:tr>
  </w:tbl>
  <w:p w:rsidR="00735E67" w:rsidRPr="00BA724A" w:rsidRDefault="00735E67" w:rsidP="00857215">
    <w:pPr>
      <w:pStyle w:val="Footer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61" w:rsidRDefault="00C95061">
      <w:r>
        <w:separator/>
      </w:r>
    </w:p>
  </w:footnote>
  <w:footnote w:type="continuationSeparator" w:id="0">
    <w:p w:rsidR="00C95061" w:rsidRDefault="00C95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67" w:rsidRPr="00BA724A" w:rsidRDefault="00BA724A" w:rsidP="00857215">
    <w:pPr>
      <w:jc w:val="center"/>
      <w:rPr>
        <w:rFonts w:ascii="Century Gothic" w:hAnsi="Century Gothic"/>
        <w:color w:val="000000"/>
      </w:rPr>
    </w:pPr>
    <w:r w:rsidRPr="00BA724A">
      <w:rPr>
        <w:rFonts w:ascii="Century Gothic" w:hAnsi="Century Gothic"/>
        <w:b/>
        <w:bCs/>
        <w:color w:val="000000"/>
        <w:sz w:val="27"/>
        <w:szCs w:val="27"/>
      </w:rPr>
      <w:t xml:space="preserve">[Insert facility name] </w:t>
    </w:r>
    <w:r w:rsidR="00735E67" w:rsidRPr="00BA724A">
      <w:rPr>
        <w:rFonts w:ascii="Century Gothic" w:hAnsi="Century Gothic"/>
        <w:b/>
        <w:bCs/>
        <w:color w:val="000000"/>
        <w:sz w:val="27"/>
        <w:szCs w:val="27"/>
      </w:rPr>
      <w:t xml:space="preserve">Standard Operating Procedure </w:t>
    </w:r>
  </w:p>
  <w:tbl>
    <w:tblPr>
      <w:tblW w:w="5068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7742"/>
      <w:gridCol w:w="1867"/>
    </w:tblGrid>
    <w:tr w:rsidR="00735E67" w:rsidRPr="00BA724A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461604">
          <w:pPr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</w:rPr>
            <w:t xml:space="preserve">SOP TITLE:  </w:t>
          </w:r>
          <w:r w:rsidR="00F32EFA">
            <w:rPr>
              <w:rFonts w:ascii="Century Gothic" w:hAnsi="Century Gothic"/>
              <w:b/>
              <w:bCs/>
              <w:color w:val="000000"/>
            </w:rPr>
            <w:t>Patient Recruitment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bCs/>
              <w:color w:val="000000"/>
            </w:rPr>
            <w:t>Version # 1</w:t>
          </w:r>
        </w:p>
      </w:tc>
    </w:tr>
    <w:tr w:rsidR="00735E67" w:rsidRPr="00BA724A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color w:val="000000"/>
            </w:rPr>
            <w:t xml:space="preserve">SOP Number:  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735E67" w:rsidRPr="00BA724A" w:rsidRDefault="00735E67" w:rsidP="00857215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BA724A">
            <w:rPr>
              <w:rFonts w:ascii="Century Gothic" w:hAnsi="Century Gothic"/>
              <w:b/>
              <w:color w:val="000000"/>
            </w:rPr>
            <w:t xml:space="preserve">Page </w:t>
          </w:r>
          <w:r w:rsidR="000F2B5B" w:rsidRPr="00BA724A">
            <w:rPr>
              <w:rFonts w:ascii="Century Gothic" w:hAnsi="Century Gothic"/>
              <w:b/>
              <w:color w:val="000000"/>
            </w:rPr>
            <w:fldChar w:fldCharType="begin"/>
          </w:r>
          <w:r w:rsidRPr="00BA724A">
            <w:rPr>
              <w:rFonts w:ascii="Century Gothic" w:hAnsi="Century Gothic"/>
              <w:b/>
              <w:color w:val="000000"/>
            </w:rPr>
            <w:instrText xml:space="preserve"> PAGE </w:instrText>
          </w:r>
          <w:r w:rsidR="000F2B5B" w:rsidRPr="00BA724A">
            <w:rPr>
              <w:rFonts w:ascii="Century Gothic" w:hAnsi="Century Gothic"/>
              <w:b/>
              <w:color w:val="000000"/>
            </w:rPr>
            <w:fldChar w:fldCharType="separate"/>
          </w:r>
          <w:r w:rsidR="005B552F">
            <w:rPr>
              <w:rFonts w:ascii="Century Gothic" w:hAnsi="Century Gothic"/>
              <w:b/>
              <w:noProof/>
              <w:color w:val="000000"/>
            </w:rPr>
            <w:t>1</w:t>
          </w:r>
          <w:r w:rsidR="000F2B5B" w:rsidRPr="00BA724A">
            <w:rPr>
              <w:rFonts w:ascii="Century Gothic" w:hAnsi="Century Gothic"/>
              <w:b/>
              <w:color w:val="000000"/>
            </w:rPr>
            <w:fldChar w:fldCharType="end"/>
          </w:r>
          <w:r w:rsidRPr="00BA724A">
            <w:rPr>
              <w:rFonts w:ascii="Century Gothic" w:hAnsi="Century Gothic"/>
              <w:b/>
              <w:color w:val="000000"/>
            </w:rPr>
            <w:t xml:space="preserve"> of </w:t>
          </w:r>
          <w:r w:rsidR="000F2B5B" w:rsidRPr="00BA724A">
            <w:rPr>
              <w:rFonts w:ascii="Century Gothic" w:hAnsi="Century Gothic"/>
              <w:b/>
              <w:color w:val="000000"/>
            </w:rPr>
            <w:fldChar w:fldCharType="begin"/>
          </w:r>
          <w:r w:rsidRPr="00BA724A">
            <w:rPr>
              <w:rFonts w:ascii="Century Gothic" w:hAnsi="Century Gothic"/>
              <w:b/>
              <w:color w:val="000000"/>
            </w:rPr>
            <w:instrText xml:space="preserve"> NUMPAGES </w:instrText>
          </w:r>
          <w:r w:rsidR="000F2B5B" w:rsidRPr="00BA724A">
            <w:rPr>
              <w:rFonts w:ascii="Century Gothic" w:hAnsi="Century Gothic"/>
              <w:b/>
              <w:color w:val="000000"/>
            </w:rPr>
            <w:fldChar w:fldCharType="separate"/>
          </w:r>
          <w:r w:rsidR="005B552F">
            <w:rPr>
              <w:rFonts w:ascii="Century Gothic" w:hAnsi="Century Gothic"/>
              <w:b/>
              <w:noProof/>
              <w:color w:val="000000"/>
            </w:rPr>
            <w:t>1</w:t>
          </w:r>
          <w:r w:rsidR="000F2B5B" w:rsidRPr="00BA724A">
            <w:rPr>
              <w:rFonts w:ascii="Century Gothic" w:hAnsi="Century Gothic"/>
              <w:b/>
              <w:color w:val="000000"/>
            </w:rPr>
            <w:fldChar w:fldCharType="end"/>
          </w:r>
        </w:p>
      </w:tc>
    </w:tr>
  </w:tbl>
  <w:p w:rsidR="00735E67" w:rsidRDefault="00735E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822"/>
    <w:multiLevelType w:val="hybridMultilevel"/>
    <w:tmpl w:val="840658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9B0E4D"/>
    <w:multiLevelType w:val="hybridMultilevel"/>
    <w:tmpl w:val="AD24CC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DC6400E"/>
    <w:multiLevelType w:val="hybridMultilevel"/>
    <w:tmpl w:val="124A1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01A71"/>
    <w:multiLevelType w:val="hybridMultilevel"/>
    <w:tmpl w:val="DEF26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67C16"/>
    <w:multiLevelType w:val="hybridMultilevel"/>
    <w:tmpl w:val="F5F08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B66986"/>
    <w:multiLevelType w:val="hybridMultilevel"/>
    <w:tmpl w:val="319C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C0E64"/>
    <w:multiLevelType w:val="hybridMultilevel"/>
    <w:tmpl w:val="B65EBDB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5CE2935"/>
    <w:multiLevelType w:val="hybridMultilevel"/>
    <w:tmpl w:val="EB3AB8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A6"/>
    <w:rsid w:val="00061787"/>
    <w:rsid w:val="000A6140"/>
    <w:rsid w:val="000F2B5B"/>
    <w:rsid w:val="00102D38"/>
    <w:rsid w:val="00131C44"/>
    <w:rsid w:val="0014488F"/>
    <w:rsid w:val="001B46AA"/>
    <w:rsid w:val="00225251"/>
    <w:rsid w:val="00461604"/>
    <w:rsid w:val="0049412B"/>
    <w:rsid w:val="00580CEE"/>
    <w:rsid w:val="005B552F"/>
    <w:rsid w:val="00622FA4"/>
    <w:rsid w:val="00670CF6"/>
    <w:rsid w:val="00697C6A"/>
    <w:rsid w:val="007209C3"/>
    <w:rsid w:val="00735E67"/>
    <w:rsid w:val="00754363"/>
    <w:rsid w:val="00754474"/>
    <w:rsid w:val="00812F78"/>
    <w:rsid w:val="00857215"/>
    <w:rsid w:val="00860C46"/>
    <w:rsid w:val="00893BD9"/>
    <w:rsid w:val="008A6950"/>
    <w:rsid w:val="008F6146"/>
    <w:rsid w:val="00AA7E5F"/>
    <w:rsid w:val="00AD2D55"/>
    <w:rsid w:val="00AF7B25"/>
    <w:rsid w:val="00B56429"/>
    <w:rsid w:val="00B63018"/>
    <w:rsid w:val="00BA724A"/>
    <w:rsid w:val="00C4055D"/>
    <w:rsid w:val="00C75026"/>
    <w:rsid w:val="00C95061"/>
    <w:rsid w:val="00CD5CA6"/>
    <w:rsid w:val="00D24B16"/>
    <w:rsid w:val="00DE59C6"/>
    <w:rsid w:val="00E54354"/>
    <w:rsid w:val="00E54C56"/>
    <w:rsid w:val="00F3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1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6140"/>
    <w:rPr>
      <w:color w:val="0000FF"/>
      <w:u w:val="single"/>
    </w:rPr>
  </w:style>
  <w:style w:type="paragraph" w:styleId="Header">
    <w:name w:val="header"/>
    <w:basedOn w:val="Normal"/>
    <w:rsid w:val="001448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8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215"/>
  </w:style>
  <w:style w:type="paragraph" w:styleId="BalloonText">
    <w:name w:val="Balloon Text"/>
    <w:basedOn w:val="Normal"/>
    <w:semiHidden/>
    <w:rsid w:val="00580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E0C331-10CB-4AE0-8DAB-961C698CD5C2}"/>
</file>

<file path=customXml/itemProps2.xml><?xml version="1.0" encoding="utf-8"?>
<ds:datastoreItem xmlns:ds="http://schemas.openxmlformats.org/officeDocument/2006/customXml" ds:itemID="{62E4C118-620E-4F65-8512-7353A972F74E}"/>
</file>

<file path=customXml/itemProps3.xml><?xml version="1.0" encoding="utf-8"?>
<ds:datastoreItem xmlns:ds="http://schemas.openxmlformats.org/officeDocument/2006/customXml" ds:itemID="{3DE07314-A344-4809-96F5-D59F31A61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Standard Operating Procedure Template</vt:lpstr>
    </vt:vector>
  </TitlesOfParts>
  <Company>School of Medicine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Standard Operating Procedure Template</dc:title>
  <dc:subject/>
  <dc:creator>moori001</dc:creator>
  <cp:keywords/>
  <dc:description/>
  <cp:lastModifiedBy>q729368</cp:lastModifiedBy>
  <cp:revision>3</cp:revision>
  <cp:lastPrinted>2006-09-25T20:30:00Z</cp:lastPrinted>
  <dcterms:created xsi:type="dcterms:W3CDTF">2014-02-16T18:24:00Z</dcterms:created>
  <dcterms:modified xsi:type="dcterms:W3CDTF">2014-02-16T18:31:00Z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0x01010052E8B760E2DF244AA350C226C42F9E2A</vt:lpwstr>
  </property>
</Properties>
</file>