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E91" w:rsidRDefault="00F51E91" w:rsidP="009F1041">
      <w:pPr>
        <w:rPr>
          <w:rFonts w:ascii="Garamond" w:hAnsi="Garamond"/>
          <w:b/>
          <w:bCs/>
          <w:color w:val="000000"/>
          <w:u w:val="single"/>
        </w:rPr>
      </w:pPr>
    </w:p>
    <w:p w:rsidR="00F51E91" w:rsidRDefault="00F51E91" w:rsidP="009F1041">
      <w:pPr>
        <w:rPr>
          <w:rFonts w:ascii="Garamond" w:hAnsi="Garamond"/>
          <w:b/>
          <w:bCs/>
          <w:color w:val="000000"/>
          <w:u w:val="single"/>
        </w:rPr>
      </w:pPr>
    </w:p>
    <w:p w:rsidR="00243028" w:rsidRPr="00243028" w:rsidRDefault="009F1041" w:rsidP="00243028">
      <w:pPr>
        <w:rPr>
          <w:rFonts w:ascii="Garamond" w:hAnsi="Garamond"/>
          <w:bCs/>
          <w:color w:val="000000"/>
        </w:rPr>
      </w:pPr>
      <w:r w:rsidRPr="00F12640">
        <w:rPr>
          <w:rFonts w:ascii="Garamond" w:hAnsi="Garamond"/>
          <w:b/>
          <w:bCs/>
          <w:color w:val="000000"/>
          <w:u w:val="single"/>
        </w:rPr>
        <w:t>PURPOSE:</w:t>
      </w:r>
      <w:r w:rsidRPr="00F12640">
        <w:rPr>
          <w:rFonts w:ascii="Garamond" w:hAnsi="Garamond"/>
          <w:color w:val="000000"/>
        </w:rPr>
        <w:t xml:space="preserve"> </w:t>
      </w:r>
      <w:r w:rsidR="00243028" w:rsidRPr="00243028">
        <w:rPr>
          <w:rFonts w:ascii="Garamond" w:hAnsi="Garamond"/>
          <w:bCs/>
          <w:color w:val="000000"/>
        </w:rPr>
        <w:t xml:space="preserve">This describes the steps followed by this clinical research site from the time the Study Termination Visit is scheduled until all follow-up activities associated with the visit have been completed. </w:t>
      </w:r>
    </w:p>
    <w:p w:rsidR="00243028" w:rsidRPr="00243028" w:rsidRDefault="00243028" w:rsidP="00243028">
      <w:pPr>
        <w:rPr>
          <w:rFonts w:ascii="Garamond" w:hAnsi="Garamond"/>
          <w:bCs/>
          <w:color w:val="000000"/>
        </w:rPr>
      </w:pPr>
    </w:p>
    <w:p w:rsidR="00243028" w:rsidRPr="00243028" w:rsidRDefault="00243028" w:rsidP="00243028">
      <w:pPr>
        <w:rPr>
          <w:rFonts w:ascii="Garamond" w:hAnsi="Garamond"/>
          <w:bCs/>
          <w:color w:val="000000"/>
        </w:rPr>
      </w:pPr>
      <w:r w:rsidRPr="00243028">
        <w:rPr>
          <w:rFonts w:ascii="Garamond" w:hAnsi="Garamond"/>
          <w:bCs/>
          <w:color w:val="000000"/>
        </w:rPr>
        <w:t xml:space="preserve">A Study Termination Visit is a final monitoring visit conducted after all subjects have completed the study and all data are recorded in case report forms (CRFs).  The purposes of the visit are: </w:t>
      </w:r>
    </w:p>
    <w:p w:rsidR="00243028" w:rsidRPr="00243028" w:rsidRDefault="00243028" w:rsidP="00243028">
      <w:pPr>
        <w:rPr>
          <w:rFonts w:ascii="Garamond" w:hAnsi="Garamond"/>
          <w:bCs/>
          <w:color w:val="000000"/>
        </w:rPr>
      </w:pPr>
    </w:p>
    <w:p w:rsidR="00243028" w:rsidRPr="00243028" w:rsidRDefault="00243028" w:rsidP="00243028">
      <w:pPr>
        <w:numPr>
          <w:ilvl w:val="0"/>
          <w:numId w:val="17"/>
        </w:numPr>
        <w:tabs>
          <w:tab w:val="clear" w:pos="720"/>
        </w:tabs>
        <w:ind w:hanging="360"/>
        <w:rPr>
          <w:rFonts w:ascii="Garamond" w:hAnsi="Garamond"/>
          <w:bCs/>
          <w:color w:val="000000"/>
        </w:rPr>
      </w:pPr>
      <w:r w:rsidRPr="00243028">
        <w:rPr>
          <w:rFonts w:ascii="Garamond" w:hAnsi="Garamond"/>
          <w:bCs/>
          <w:color w:val="000000"/>
        </w:rPr>
        <w:t xml:space="preserve">to ensure that all investigational product has been administered according to the protocol, accounted for, and the remaining product returned to the Sponsor or destroyed; </w:t>
      </w:r>
    </w:p>
    <w:p w:rsidR="00243028" w:rsidRPr="00243028" w:rsidRDefault="00243028" w:rsidP="00243028">
      <w:pPr>
        <w:numPr>
          <w:ilvl w:val="0"/>
          <w:numId w:val="17"/>
        </w:numPr>
        <w:tabs>
          <w:tab w:val="clear" w:pos="720"/>
        </w:tabs>
        <w:ind w:hanging="360"/>
        <w:rPr>
          <w:rFonts w:ascii="Garamond" w:hAnsi="Garamond"/>
          <w:bCs/>
          <w:color w:val="000000"/>
        </w:rPr>
      </w:pPr>
      <w:r w:rsidRPr="00243028">
        <w:rPr>
          <w:rFonts w:ascii="Garamond" w:hAnsi="Garamond"/>
          <w:bCs/>
          <w:color w:val="000000"/>
        </w:rPr>
        <w:t>to ensure that all documents regarding investigational product accountability are accurate, complete, and legible;</w:t>
      </w:r>
    </w:p>
    <w:p w:rsidR="00243028" w:rsidRPr="00243028" w:rsidRDefault="00243028" w:rsidP="00243028">
      <w:pPr>
        <w:numPr>
          <w:ilvl w:val="0"/>
          <w:numId w:val="17"/>
        </w:numPr>
        <w:tabs>
          <w:tab w:val="clear" w:pos="720"/>
        </w:tabs>
        <w:ind w:hanging="360"/>
        <w:rPr>
          <w:rFonts w:ascii="Garamond" w:hAnsi="Garamond"/>
          <w:bCs/>
          <w:color w:val="000000"/>
        </w:rPr>
      </w:pPr>
      <w:r w:rsidRPr="00243028">
        <w:rPr>
          <w:rFonts w:ascii="Garamond" w:hAnsi="Garamond"/>
          <w:bCs/>
          <w:color w:val="000000"/>
        </w:rPr>
        <w:t xml:space="preserve">to complete monitoring at the study site and return all completed CRFs to the Sponsor; </w:t>
      </w:r>
    </w:p>
    <w:p w:rsidR="00243028" w:rsidRPr="00243028" w:rsidRDefault="00243028" w:rsidP="00243028">
      <w:pPr>
        <w:numPr>
          <w:ilvl w:val="0"/>
          <w:numId w:val="17"/>
        </w:numPr>
        <w:tabs>
          <w:tab w:val="clear" w:pos="720"/>
        </w:tabs>
        <w:ind w:hanging="360"/>
        <w:rPr>
          <w:rFonts w:ascii="Garamond" w:hAnsi="Garamond"/>
          <w:bCs/>
          <w:color w:val="000000"/>
        </w:rPr>
      </w:pPr>
      <w:r w:rsidRPr="00243028">
        <w:rPr>
          <w:rFonts w:ascii="Garamond" w:hAnsi="Garamond"/>
          <w:bCs/>
          <w:color w:val="000000"/>
        </w:rPr>
        <w:t xml:space="preserve">to confirm the return (or final disposition) of all study-related materials (including forms, blank CRFs, etc); </w:t>
      </w:r>
    </w:p>
    <w:p w:rsidR="00243028" w:rsidRPr="00243028" w:rsidRDefault="00243028" w:rsidP="00243028">
      <w:pPr>
        <w:numPr>
          <w:ilvl w:val="0"/>
          <w:numId w:val="17"/>
        </w:numPr>
        <w:tabs>
          <w:tab w:val="clear" w:pos="720"/>
        </w:tabs>
        <w:ind w:hanging="360"/>
        <w:rPr>
          <w:rFonts w:ascii="Garamond" w:hAnsi="Garamond"/>
          <w:bCs/>
          <w:color w:val="000000"/>
        </w:rPr>
      </w:pPr>
      <w:r w:rsidRPr="00243028">
        <w:rPr>
          <w:rFonts w:ascii="Garamond" w:hAnsi="Garamond"/>
          <w:bCs/>
          <w:color w:val="000000"/>
        </w:rPr>
        <w:t xml:space="preserve">to ensure that all regulatory documents are on file at the investigational site; </w:t>
      </w:r>
    </w:p>
    <w:p w:rsidR="00243028" w:rsidRPr="00243028" w:rsidRDefault="00243028" w:rsidP="00243028">
      <w:pPr>
        <w:numPr>
          <w:ilvl w:val="0"/>
          <w:numId w:val="17"/>
        </w:numPr>
        <w:tabs>
          <w:tab w:val="clear" w:pos="720"/>
          <w:tab w:val="num" w:pos="-1350"/>
        </w:tabs>
        <w:ind w:hanging="360"/>
        <w:rPr>
          <w:rFonts w:ascii="Garamond" w:hAnsi="Garamond"/>
          <w:bCs/>
          <w:color w:val="000000"/>
        </w:rPr>
      </w:pPr>
      <w:r w:rsidRPr="00243028">
        <w:rPr>
          <w:rFonts w:ascii="Garamond" w:hAnsi="Garamond"/>
          <w:bCs/>
          <w:color w:val="000000"/>
        </w:rPr>
        <w:t>to review with the Investigator his/her responsibilities after termination activities have been completed</w:t>
      </w:r>
    </w:p>
    <w:p w:rsidR="009F1041" w:rsidRPr="00F12640" w:rsidRDefault="009F1041" w:rsidP="00993D9C">
      <w:pPr>
        <w:rPr>
          <w:rFonts w:ascii="Garamond" w:hAnsi="Garamond"/>
          <w:color w:val="000000"/>
        </w:rPr>
      </w:pPr>
    </w:p>
    <w:p w:rsidR="00F12640" w:rsidRPr="00F12640" w:rsidRDefault="009F1041" w:rsidP="00F12640">
      <w:pPr>
        <w:rPr>
          <w:rFonts w:ascii="Garamond" w:hAnsi="Garamond"/>
          <w:color w:val="000000"/>
        </w:rPr>
      </w:pPr>
      <w:r w:rsidRPr="00F12640">
        <w:rPr>
          <w:rFonts w:ascii="Garamond" w:hAnsi="Garamond"/>
          <w:b/>
          <w:color w:val="000000"/>
          <w:u w:val="single"/>
        </w:rPr>
        <w:t>SCOPE:</w:t>
      </w:r>
      <w:r w:rsidRPr="00F12640">
        <w:rPr>
          <w:rFonts w:ascii="Garamond" w:hAnsi="Garamond"/>
          <w:color w:val="000000"/>
        </w:rPr>
        <w:t xml:space="preserve"> </w:t>
      </w:r>
      <w:r w:rsidR="00F12640" w:rsidRPr="00F12640">
        <w:rPr>
          <w:rFonts w:ascii="Garamond" w:hAnsi="Garamond"/>
          <w:color w:val="000000"/>
        </w:rPr>
        <w:t xml:space="preserve">This applies to all clinical research staff </w:t>
      </w:r>
      <w:r w:rsidR="00243028">
        <w:rPr>
          <w:rFonts w:ascii="Garamond" w:hAnsi="Garamond"/>
          <w:color w:val="000000"/>
        </w:rPr>
        <w:t>involved in the study termination visit</w:t>
      </w:r>
      <w:r w:rsidR="00F12640" w:rsidRPr="00F12640">
        <w:rPr>
          <w:rFonts w:ascii="Garamond" w:hAnsi="Garamond"/>
          <w:color w:val="000000"/>
        </w:rPr>
        <w:t xml:space="preserve">. </w:t>
      </w:r>
    </w:p>
    <w:p w:rsidR="00D04EE6" w:rsidRPr="00F12640" w:rsidRDefault="002B7B3C" w:rsidP="009F1041">
      <w:pPr>
        <w:rPr>
          <w:rFonts w:ascii="Garamond" w:hAnsi="Garamond"/>
          <w:color w:val="000000"/>
        </w:rPr>
      </w:pPr>
      <w:r w:rsidRPr="00F12640">
        <w:rPr>
          <w:rFonts w:ascii="Garamond" w:hAnsi="Garamond"/>
          <w:color w:val="000000"/>
        </w:rPr>
        <w:t xml:space="preserve"> </w:t>
      </w:r>
    </w:p>
    <w:p w:rsidR="009F1041" w:rsidRPr="00F12640" w:rsidRDefault="009F1041" w:rsidP="00D04EE6">
      <w:pPr>
        <w:rPr>
          <w:rFonts w:ascii="Garamond" w:hAnsi="Garamond"/>
          <w:color w:val="000000"/>
        </w:rPr>
      </w:pPr>
      <w:r w:rsidRPr="00F12640">
        <w:rPr>
          <w:rFonts w:ascii="Garamond" w:hAnsi="Garamond"/>
          <w:b/>
          <w:color w:val="000000"/>
          <w:u w:val="single"/>
        </w:rPr>
        <w:t xml:space="preserve">PERSONNEL RESPONSIBLE: </w:t>
      </w:r>
      <w:r w:rsidRPr="00F12640">
        <w:rPr>
          <w:rFonts w:ascii="Garamond" w:hAnsi="Garamond"/>
          <w:color w:val="000000"/>
        </w:rPr>
        <w:t xml:space="preserve"> Principal Investigator and when delegated by the </w:t>
      </w:r>
      <w:r w:rsidR="00E70A3F" w:rsidRPr="00F12640">
        <w:rPr>
          <w:rFonts w:ascii="Garamond" w:hAnsi="Garamond"/>
          <w:color w:val="000000"/>
        </w:rPr>
        <w:t>Principal Investigator---- Sub-I</w:t>
      </w:r>
      <w:r w:rsidRPr="00F12640">
        <w:rPr>
          <w:rFonts w:ascii="Garamond" w:hAnsi="Garamond"/>
          <w:color w:val="000000"/>
        </w:rPr>
        <w:t xml:space="preserve">nvestigators, Study Coordinator and/or other pertinent staff.  </w:t>
      </w:r>
    </w:p>
    <w:p w:rsidR="00D04EE6" w:rsidRPr="00F12640" w:rsidRDefault="00D04EE6" w:rsidP="00D04EE6">
      <w:pPr>
        <w:rPr>
          <w:rFonts w:ascii="Garamond" w:hAnsi="Garamond"/>
          <w:color w:val="000000"/>
        </w:rPr>
      </w:pPr>
    </w:p>
    <w:p w:rsidR="002B7B3C" w:rsidRPr="00F12640" w:rsidRDefault="009F1041" w:rsidP="002B7B3C">
      <w:pPr>
        <w:rPr>
          <w:rFonts w:ascii="Garamond" w:hAnsi="Garamond"/>
          <w:b/>
          <w:bCs/>
          <w:color w:val="000000"/>
          <w:u w:val="single"/>
        </w:rPr>
      </w:pPr>
      <w:r w:rsidRPr="00F12640">
        <w:rPr>
          <w:rFonts w:ascii="Garamond" w:hAnsi="Garamond"/>
          <w:b/>
          <w:bCs/>
          <w:color w:val="000000"/>
          <w:u w:val="single"/>
        </w:rPr>
        <w:t xml:space="preserve">PROCEDURES: </w:t>
      </w:r>
    </w:p>
    <w:p w:rsidR="00243028" w:rsidRPr="00243028" w:rsidRDefault="00243028" w:rsidP="00243028">
      <w:pPr>
        <w:rPr>
          <w:rFonts w:ascii="Garamond" w:hAnsi="Garamond"/>
        </w:rPr>
      </w:pPr>
      <w:r w:rsidRPr="00243028">
        <w:rPr>
          <w:rFonts w:ascii="Garamond" w:hAnsi="Garamond"/>
        </w:rPr>
        <w:t>The research coordinator and/or designated individual(s) from the research team will perform the following:</w:t>
      </w:r>
    </w:p>
    <w:p w:rsidR="00243028" w:rsidRDefault="00243028" w:rsidP="00243028">
      <w:pPr>
        <w:rPr>
          <w:rFonts w:ascii="Garamond" w:hAnsi="Garamond"/>
          <w:b/>
        </w:rPr>
      </w:pPr>
    </w:p>
    <w:p w:rsidR="00243028" w:rsidRPr="00243028" w:rsidRDefault="00243028" w:rsidP="00243028">
      <w:pPr>
        <w:rPr>
          <w:rFonts w:ascii="Garamond" w:hAnsi="Garamond"/>
          <w:b/>
        </w:rPr>
      </w:pPr>
      <w:r w:rsidRPr="00243028">
        <w:rPr>
          <w:rFonts w:ascii="Garamond" w:hAnsi="Garamond"/>
          <w:b/>
        </w:rPr>
        <w:t>Preparing for the Study Termination Visit</w:t>
      </w:r>
    </w:p>
    <w:p w:rsidR="00780264" w:rsidRDefault="00243028" w:rsidP="00243028">
      <w:pPr>
        <w:numPr>
          <w:ilvl w:val="0"/>
          <w:numId w:val="19"/>
        </w:numPr>
        <w:ind w:left="720"/>
        <w:rPr>
          <w:rFonts w:ascii="Garamond" w:hAnsi="Garamond"/>
        </w:rPr>
      </w:pPr>
      <w:r w:rsidRPr="00780264">
        <w:rPr>
          <w:rFonts w:ascii="Garamond" w:hAnsi="Garamond"/>
        </w:rPr>
        <w:t xml:space="preserve">After the last subject has completed all visits associated with the study, schedule a mutually agreeable date/time for Investigator, Study Research Pharmacist, Regulatory Coordinator, CRC, and monitor to accommodate the study closeout visit.  </w:t>
      </w:r>
    </w:p>
    <w:p w:rsidR="00243028" w:rsidRPr="00780264" w:rsidRDefault="00243028" w:rsidP="00243028">
      <w:pPr>
        <w:numPr>
          <w:ilvl w:val="0"/>
          <w:numId w:val="19"/>
        </w:numPr>
        <w:ind w:left="720"/>
        <w:rPr>
          <w:rFonts w:ascii="Garamond" w:hAnsi="Garamond"/>
        </w:rPr>
      </w:pPr>
      <w:r w:rsidRPr="00780264">
        <w:rPr>
          <w:rFonts w:ascii="Garamond" w:hAnsi="Garamond"/>
        </w:rPr>
        <w:t>Ensure that the appropriate patient medical records will be available for review at the time of the study termination visit. If applicable, inform the study pharmacist of the scheduled visit so that study drug can be inventoried and drug accountability records can be completed.</w:t>
      </w:r>
    </w:p>
    <w:p w:rsidR="00243028" w:rsidRPr="00243028" w:rsidRDefault="00243028" w:rsidP="00243028">
      <w:pPr>
        <w:numPr>
          <w:ilvl w:val="0"/>
          <w:numId w:val="19"/>
        </w:numPr>
        <w:ind w:left="720"/>
        <w:rPr>
          <w:rFonts w:ascii="Garamond" w:hAnsi="Garamond"/>
        </w:rPr>
      </w:pPr>
      <w:r w:rsidRPr="00243028">
        <w:rPr>
          <w:rFonts w:ascii="Garamond" w:hAnsi="Garamond"/>
        </w:rPr>
        <w:t>Confirm visit date/time with Investigator and Study Pharmacist</w:t>
      </w:r>
      <w:r w:rsidR="00780264">
        <w:rPr>
          <w:rFonts w:ascii="Garamond" w:hAnsi="Garamond"/>
        </w:rPr>
        <w:t xml:space="preserve"> if applicable</w:t>
      </w:r>
      <w:r w:rsidRPr="00243028">
        <w:rPr>
          <w:rFonts w:ascii="Garamond" w:hAnsi="Garamond"/>
        </w:rPr>
        <w:t>.  Notify Regulatory Coordinator</w:t>
      </w:r>
      <w:r w:rsidR="00780264">
        <w:rPr>
          <w:rFonts w:ascii="Garamond" w:hAnsi="Garamond"/>
        </w:rPr>
        <w:t xml:space="preserve"> if applicable</w:t>
      </w:r>
      <w:r w:rsidRPr="00243028">
        <w:rPr>
          <w:rFonts w:ascii="Garamond" w:hAnsi="Garamond"/>
        </w:rPr>
        <w:t xml:space="preserve">.    </w:t>
      </w:r>
    </w:p>
    <w:p w:rsidR="00243028" w:rsidRPr="00243028" w:rsidRDefault="00243028" w:rsidP="00243028">
      <w:pPr>
        <w:numPr>
          <w:ilvl w:val="0"/>
          <w:numId w:val="19"/>
        </w:numPr>
        <w:ind w:left="720"/>
        <w:rPr>
          <w:rFonts w:ascii="Garamond" w:hAnsi="Garamond"/>
        </w:rPr>
      </w:pPr>
      <w:r w:rsidRPr="00243028">
        <w:rPr>
          <w:rFonts w:ascii="Garamond" w:hAnsi="Garamond"/>
        </w:rPr>
        <w:t>Ensure that all regulatory documentation and case report forms not previously monitored are completed and available for review.</w:t>
      </w:r>
    </w:p>
    <w:p w:rsidR="00243028" w:rsidRPr="00243028" w:rsidRDefault="00243028" w:rsidP="00243028">
      <w:pPr>
        <w:numPr>
          <w:ilvl w:val="0"/>
          <w:numId w:val="19"/>
        </w:numPr>
        <w:ind w:left="720"/>
        <w:rPr>
          <w:rFonts w:ascii="Garamond" w:hAnsi="Garamond"/>
        </w:rPr>
      </w:pPr>
      <w:r w:rsidRPr="00243028">
        <w:rPr>
          <w:rFonts w:ascii="Garamond" w:hAnsi="Garamond"/>
        </w:rPr>
        <w:lastRenderedPageBreak/>
        <w:t>Ensure that all data queries received to date have been resolved.</w:t>
      </w:r>
    </w:p>
    <w:p w:rsidR="00243028" w:rsidRPr="00243028" w:rsidRDefault="00243028" w:rsidP="00243028">
      <w:pPr>
        <w:rPr>
          <w:rFonts w:ascii="Garamond" w:hAnsi="Garamond"/>
          <w:b/>
        </w:rPr>
      </w:pPr>
    </w:p>
    <w:p w:rsidR="00243028" w:rsidRPr="00243028" w:rsidRDefault="00243028" w:rsidP="00243028">
      <w:pPr>
        <w:rPr>
          <w:rFonts w:ascii="Garamond" w:hAnsi="Garamond"/>
          <w:b/>
        </w:rPr>
      </w:pPr>
      <w:r w:rsidRPr="00243028">
        <w:rPr>
          <w:rFonts w:ascii="Garamond" w:hAnsi="Garamond"/>
          <w:b/>
        </w:rPr>
        <w:t>Conducting the Study Termination Visit</w:t>
      </w:r>
    </w:p>
    <w:p w:rsidR="00243028" w:rsidRPr="00243028" w:rsidRDefault="00243028" w:rsidP="00243028">
      <w:pPr>
        <w:rPr>
          <w:rFonts w:ascii="Garamond" w:hAnsi="Garamond"/>
          <w:b/>
        </w:rPr>
      </w:pPr>
    </w:p>
    <w:p w:rsidR="00243028" w:rsidRPr="00243028" w:rsidRDefault="00243028" w:rsidP="00243028">
      <w:pPr>
        <w:numPr>
          <w:ilvl w:val="0"/>
          <w:numId w:val="20"/>
        </w:numPr>
        <w:ind w:left="720"/>
        <w:rPr>
          <w:rFonts w:ascii="Garamond" w:hAnsi="Garamond"/>
        </w:rPr>
      </w:pPr>
      <w:r w:rsidRPr="00243028">
        <w:rPr>
          <w:rFonts w:ascii="Garamond" w:hAnsi="Garamond"/>
        </w:rPr>
        <w:t>Provide the monitor with all documents required to conduct the visit.  Ensure that the monitor signs the visit monitoring log.  Provide the monitor with an update on any study-related issues.</w:t>
      </w:r>
    </w:p>
    <w:p w:rsidR="00243028" w:rsidRPr="00243028" w:rsidRDefault="00243028" w:rsidP="00243028">
      <w:pPr>
        <w:numPr>
          <w:ilvl w:val="0"/>
          <w:numId w:val="20"/>
        </w:numPr>
        <w:ind w:left="720"/>
        <w:rPr>
          <w:rFonts w:ascii="Garamond" w:hAnsi="Garamond"/>
        </w:rPr>
      </w:pPr>
      <w:r w:rsidRPr="00243028">
        <w:rPr>
          <w:rFonts w:ascii="Garamond" w:hAnsi="Garamond"/>
        </w:rPr>
        <w:t xml:space="preserve">Be available </w:t>
      </w:r>
      <w:r w:rsidR="00780264">
        <w:rPr>
          <w:rFonts w:ascii="Garamond" w:hAnsi="Garamond"/>
        </w:rPr>
        <w:t xml:space="preserve">periodically </w:t>
      </w:r>
      <w:r w:rsidRPr="00243028">
        <w:rPr>
          <w:rFonts w:ascii="Garamond" w:hAnsi="Garamond"/>
        </w:rPr>
        <w:t>throughout the visit to answer the monitor’s questions.</w:t>
      </w:r>
    </w:p>
    <w:p w:rsidR="00243028" w:rsidRPr="00243028" w:rsidRDefault="00243028" w:rsidP="00243028">
      <w:pPr>
        <w:numPr>
          <w:ilvl w:val="0"/>
          <w:numId w:val="20"/>
        </w:numPr>
        <w:ind w:left="720"/>
        <w:rPr>
          <w:rFonts w:ascii="Garamond" w:hAnsi="Garamond"/>
        </w:rPr>
      </w:pPr>
      <w:r w:rsidRPr="00243028">
        <w:rPr>
          <w:rFonts w:ascii="Garamond" w:hAnsi="Garamond"/>
        </w:rPr>
        <w:t>Maintain confidentiality of other clinical studies.</w:t>
      </w:r>
    </w:p>
    <w:p w:rsidR="00243028" w:rsidRPr="00243028" w:rsidRDefault="00243028" w:rsidP="00243028">
      <w:pPr>
        <w:numPr>
          <w:ilvl w:val="0"/>
          <w:numId w:val="20"/>
        </w:numPr>
        <w:ind w:left="720"/>
        <w:rPr>
          <w:rFonts w:ascii="Garamond" w:hAnsi="Garamond"/>
        </w:rPr>
      </w:pPr>
      <w:r w:rsidRPr="00243028">
        <w:rPr>
          <w:rFonts w:ascii="Garamond" w:hAnsi="Garamond"/>
        </w:rPr>
        <w:t>If data was entered by computer, determine when hard copies of CRFs will be provided to the site and review Sponsor’s requirements for protecting the integrity of the electronic data.</w:t>
      </w:r>
    </w:p>
    <w:p w:rsidR="00243028" w:rsidRPr="00243028" w:rsidRDefault="00243028" w:rsidP="00243028">
      <w:pPr>
        <w:numPr>
          <w:ilvl w:val="0"/>
          <w:numId w:val="20"/>
        </w:numPr>
        <w:ind w:left="720"/>
        <w:rPr>
          <w:rFonts w:ascii="Garamond" w:hAnsi="Garamond"/>
        </w:rPr>
      </w:pPr>
      <w:r w:rsidRPr="00243028">
        <w:rPr>
          <w:rFonts w:ascii="Garamond" w:hAnsi="Garamond"/>
        </w:rPr>
        <w:t>At the conclusion of the visit, meet with the monitor to discuss issues related to:</w:t>
      </w:r>
    </w:p>
    <w:p w:rsidR="00243028" w:rsidRPr="00243028" w:rsidRDefault="00243028" w:rsidP="00243028">
      <w:pPr>
        <w:numPr>
          <w:ilvl w:val="0"/>
          <w:numId w:val="18"/>
        </w:numPr>
        <w:tabs>
          <w:tab w:val="num" w:pos="4320"/>
        </w:tabs>
        <w:ind w:left="1440"/>
        <w:rPr>
          <w:rFonts w:ascii="Garamond" w:hAnsi="Garamond"/>
        </w:rPr>
      </w:pPr>
      <w:r w:rsidRPr="00243028">
        <w:rPr>
          <w:rFonts w:ascii="Garamond" w:hAnsi="Garamond"/>
        </w:rPr>
        <w:t>Final audit of regulatory files</w:t>
      </w:r>
    </w:p>
    <w:p w:rsidR="00243028" w:rsidRPr="00243028" w:rsidRDefault="00243028" w:rsidP="00243028">
      <w:pPr>
        <w:numPr>
          <w:ilvl w:val="0"/>
          <w:numId w:val="18"/>
        </w:numPr>
        <w:tabs>
          <w:tab w:val="num" w:pos="4320"/>
        </w:tabs>
        <w:ind w:left="1440"/>
        <w:rPr>
          <w:rFonts w:ascii="Garamond" w:hAnsi="Garamond"/>
        </w:rPr>
      </w:pPr>
      <w:r w:rsidRPr="00243028">
        <w:rPr>
          <w:rFonts w:ascii="Garamond" w:hAnsi="Garamond"/>
        </w:rPr>
        <w:t>Final source data verification</w:t>
      </w:r>
    </w:p>
    <w:p w:rsidR="00243028" w:rsidRPr="00243028" w:rsidRDefault="00243028" w:rsidP="00243028">
      <w:pPr>
        <w:numPr>
          <w:ilvl w:val="0"/>
          <w:numId w:val="18"/>
        </w:numPr>
        <w:ind w:left="1440"/>
        <w:rPr>
          <w:rFonts w:ascii="Garamond" w:hAnsi="Garamond"/>
        </w:rPr>
      </w:pPr>
      <w:r w:rsidRPr="00243028">
        <w:rPr>
          <w:rFonts w:ascii="Garamond" w:hAnsi="Garamond"/>
        </w:rPr>
        <w:t xml:space="preserve">Study drug/device reconciliation </w:t>
      </w:r>
    </w:p>
    <w:p w:rsidR="00243028" w:rsidRPr="00243028" w:rsidRDefault="00243028" w:rsidP="00243028">
      <w:pPr>
        <w:numPr>
          <w:ilvl w:val="0"/>
          <w:numId w:val="18"/>
        </w:numPr>
        <w:ind w:left="1440"/>
        <w:rPr>
          <w:rFonts w:ascii="Garamond" w:hAnsi="Garamond"/>
        </w:rPr>
      </w:pPr>
      <w:r w:rsidRPr="00243028">
        <w:rPr>
          <w:rFonts w:ascii="Garamond" w:hAnsi="Garamond"/>
        </w:rPr>
        <w:t>Possibility of a QA and/or FDA audit</w:t>
      </w:r>
    </w:p>
    <w:p w:rsidR="00243028" w:rsidRPr="00243028" w:rsidRDefault="00243028" w:rsidP="00243028">
      <w:pPr>
        <w:numPr>
          <w:ilvl w:val="0"/>
          <w:numId w:val="18"/>
        </w:numPr>
        <w:ind w:left="1440"/>
        <w:rPr>
          <w:rFonts w:ascii="Garamond" w:hAnsi="Garamond"/>
        </w:rPr>
      </w:pPr>
      <w:r w:rsidRPr="00243028">
        <w:rPr>
          <w:rFonts w:ascii="Garamond" w:hAnsi="Garamond"/>
        </w:rPr>
        <w:t xml:space="preserve">Requirements for data retention and storage </w:t>
      </w:r>
    </w:p>
    <w:p w:rsidR="00243028" w:rsidRPr="00243028" w:rsidRDefault="00243028" w:rsidP="00243028">
      <w:pPr>
        <w:numPr>
          <w:ilvl w:val="0"/>
          <w:numId w:val="18"/>
        </w:numPr>
        <w:tabs>
          <w:tab w:val="num" w:pos="4320"/>
        </w:tabs>
        <w:ind w:left="1440"/>
        <w:rPr>
          <w:rFonts w:ascii="Garamond" w:hAnsi="Garamond"/>
        </w:rPr>
      </w:pPr>
      <w:r w:rsidRPr="00243028">
        <w:rPr>
          <w:rFonts w:ascii="Garamond" w:hAnsi="Garamond"/>
        </w:rPr>
        <w:t>Sponsor’s requirements for subject follow-up of serious adverse events after formal termination from the study</w:t>
      </w:r>
    </w:p>
    <w:p w:rsidR="00243028" w:rsidRPr="00243028" w:rsidRDefault="00243028" w:rsidP="00243028">
      <w:pPr>
        <w:rPr>
          <w:rFonts w:ascii="Garamond" w:hAnsi="Garamond"/>
        </w:rPr>
      </w:pPr>
    </w:p>
    <w:p w:rsidR="00243028" w:rsidRPr="00243028" w:rsidRDefault="00243028" w:rsidP="00243028">
      <w:pPr>
        <w:rPr>
          <w:rFonts w:ascii="Garamond" w:hAnsi="Garamond"/>
          <w:b/>
        </w:rPr>
      </w:pPr>
      <w:r w:rsidRPr="00243028">
        <w:rPr>
          <w:rFonts w:ascii="Garamond" w:hAnsi="Garamond"/>
          <w:b/>
        </w:rPr>
        <w:t>Follow-up after the Study Termination Visit</w:t>
      </w:r>
    </w:p>
    <w:p w:rsidR="00243028" w:rsidRPr="00243028" w:rsidRDefault="00243028" w:rsidP="00243028">
      <w:pPr>
        <w:numPr>
          <w:ilvl w:val="0"/>
          <w:numId w:val="21"/>
        </w:numPr>
        <w:ind w:left="720"/>
        <w:rPr>
          <w:rFonts w:ascii="Garamond" w:hAnsi="Garamond"/>
        </w:rPr>
      </w:pPr>
      <w:r w:rsidRPr="00243028">
        <w:rPr>
          <w:rFonts w:ascii="Garamond" w:hAnsi="Garamond"/>
        </w:rPr>
        <w:t>Ensure that study drug/device is prepared for return to Sponsor/CRO or disposed of on site at the Sponsor’s written request and according to SOP</w:t>
      </w:r>
      <w:r w:rsidR="00780264">
        <w:rPr>
          <w:rFonts w:ascii="Garamond" w:hAnsi="Garamond"/>
        </w:rPr>
        <w:t>s for study article destruction.</w:t>
      </w:r>
    </w:p>
    <w:p w:rsidR="00243028" w:rsidRPr="00243028" w:rsidRDefault="00243028" w:rsidP="00243028">
      <w:pPr>
        <w:numPr>
          <w:ilvl w:val="0"/>
          <w:numId w:val="21"/>
        </w:numPr>
        <w:ind w:left="720"/>
        <w:rPr>
          <w:rFonts w:ascii="Garamond" w:hAnsi="Garamond"/>
        </w:rPr>
      </w:pPr>
      <w:r w:rsidRPr="00243028">
        <w:rPr>
          <w:rFonts w:ascii="Garamond" w:hAnsi="Garamond"/>
        </w:rPr>
        <w:t>File copies of study drug packing slips, shipment receipts, accountability records, and disposal instructions appropriately or provide Sponsor with documentation of the previously authorized study drug/device disposal and file site copy appropriately.</w:t>
      </w:r>
    </w:p>
    <w:p w:rsidR="00243028" w:rsidRPr="00243028" w:rsidRDefault="00243028" w:rsidP="00243028">
      <w:pPr>
        <w:numPr>
          <w:ilvl w:val="0"/>
          <w:numId w:val="21"/>
        </w:numPr>
        <w:ind w:left="720"/>
        <w:rPr>
          <w:rFonts w:ascii="Garamond" w:hAnsi="Garamond"/>
        </w:rPr>
      </w:pPr>
      <w:r w:rsidRPr="00243028">
        <w:rPr>
          <w:rFonts w:ascii="Garamond" w:hAnsi="Garamond"/>
        </w:rPr>
        <w:t>If the randomization code on any study drug/device was broken for any reason, ensure that complete documentation is available.  Ensure return or destruction of all other study-related materials.  Ensure that any equipment on loan is returned.</w:t>
      </w:r>
    </w:p>
    <w:p w:rsidR="00243028" w:rsidRDefault="00243028" w:rsidP="00243028">
      <w:pPr>
        <w:numPr>
          <w:ilvl w:val="0"/>
          <w:numId w:val="21"/>
        </w:numPr>
        <w:ind w:left="720"/>
        <w:rPr>
          <w:rFonts w:ascii="Garamond" w:hAnsi="Garamond"/>
        </w:rPr>
      </w:pPr>
      <w:r w:rsidRPr="00243028">
        <w:rPr>
          <w:rFonts w:ascii="Garamond" w:hAnsi="Garamond"/>
        </w:rPr>
        <w:t>Inform the IRB that the study is completed and submit the final report.  Provide sponsor with a copy of this correspondence.</w:t>
      </w:r>
    </w:p>
    <w:p w:rsidR="00F12640" w:rsidRPr="00780264" w:rsidRDefault="00780264" w:rsidP="00243028">
      <w:pPr>
        <w:numPr>
          <w:ilvl w:val="0"/>
          <w:numId w:val="21"/>
        </w:numPr>
        <w:ind w:left="720"/>
        <w:rPr>
          <w:rFonts w:ascii="Garamond" w:hAnsi="Garamond"/>
          <w:bCs/>
          <w:color w:val="000000"/>
        </w:rPr>
      </w:pPr>
      <w:r w:rsidRPr="00780264">
        <w:rPr>
          <w:rFonts w:ascii="Garamond" w:hAnsi="Garamond"/>
        </w:rPr>
        <w:t xml:space="preserve">Once all data queries have been resolved, check study files for completeness. Store all documents and archive records </w:t>
      </w:r>
      <w:r>
        <w:rPr>
          <w:rFonts w:ascii="Garamond" w:hAnsi="Garamond"/>
        </w:rPr>
        <w:t>appropriately</w:t>
      </w:r>
      <w:r w:rsidRPr="00780264">
        <w:rPr>
          <w:rFonts w:ascii="Garamond" w:hAnsi="Garamond"/>
        </w:rPr>
        <w:t>.</w:t>
      </w:r>
    </w:p>
    <w:sectPr w:rsidR="00F12640" w:rsidRPr="00780264" w:rsidSect="004B7CD6">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B42" w:rsidRDefault="00732B42">
      <w:r>
        <w:separator/>
      </w:r>
    </w:p>
  </w:endnote>
  <w:endnote w:type="continuationSeparator" w:id="0">
    <w:p w:rsidR="00732B42" w:rsidRDefault="00732B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00E" w:rsidRDefault="006E500E"/>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666"/>
      <w:gridCol w:w="2651"/>
      <w:gridCol w:w="4163"/>
    </w:tblGrid>
    <w:tr w:rsidR="006E500E" w:rsidRPr="00DC755A">
      <w:trPr>
        <w:tblCellSpacing w:w="15" w:type="dxa"/>
      </w:trPr>
      <w:tc>
        <w:tcPr>
          <w:tcW w:w="1382" w:type="pct"/>
          <w:tcBorders>
            <w:top w:val="outset" w:sz="6" w:space="0" w:color="auto"/>
            <w:left w:val="outset" w:sz="6" w:space="0" w:color="auto"/>
            <w:bottom w:val="outset" w:sz="6" w:space="0" w:color="auto"/>
            <w:right w:val="outset" w:sz="6" w:space="0" w:color="auto"/>
          </w:tcBorders>
          <w:shd w:val="clear" w:color="auto" w:fill="auto"/>
        </w:tcPr>
        <w:p w:rsidR="006E500E" w:rsidRPr="00DC755A" w:rsidRDefault="006E500E" w:rsidP="004B7CD6">
          <w:pPr>
            <w:jc w:val="center"/>
            <w:rPr>
              <w:rFonts w:ascii="Century Gothic" w:hAnsi="Century Gothic"/>
              <w:color w:val="000000"/>
            </w:rPr>
          </w:pPr>
          <w:r w:rsidRPr="00DC755A">
            <w:rPr>
              <w:rFonts w:ascii="Century Gothic" w:hAnsi="Century Gothic"/>
              <w:b/>
              <w:bCs/>
              <w:color w:val="000000"/>
              <w:sz w:val="27"/>
              <w:szCs w:val="27"/>
            </w:rPr>
            <w:t>Effective Date:</w:t>
          </w:r>
        </w:p>
      </w:tc>
      <w:tc>
        <w:tcPr>
          <w:tcW w:w="1382" w:type="pct"/>
          <w:tcBorders>
            <w:top w:val="outset" w:sz="6" w:space="0" w:color="auto"/>
            <w:left w:val="outset" w:sz="6" w:space="0" w:color="auto"/>
            <w:bottom w:val="outset" w:sz="6" w:space="0" w:color="auto"/>
            <w:right w:val="outset" w:sz="6" w:space="0" w:color="auto"/>
          </w:tcBorders>
          <w:shd w:val="clear" w:color="auto" w:fill="auto"/>
        </w:tcPr>
        <w:p w:rsidR="006E500E" w:rsidRPr="00DC755A" w:rsidRDefault="006E500E" w:rsidP="004B7CD6">
          <w:pPr>
            <w:jc w:val="center"/>
            <w:rPr>
              <w:rFonts w:ascii="Century Gothic" w:hAnsi="Century Gothic"/>
              <w:color w:val="000000"/>
            </w:rPr>
          </w:pPr>
          <w:r w:rsidRPr="00DC755A">
            <w:rPr>
              <w:rFonts w:ascii="Century Gothic" w:hAnsi="Century Gothic"/>
              <w:b/>
              <w:bCs/>
              <w:color w:val="000000"/>
              <w:sz w:val="27"/>
              <w:szCs w:val="27"/>
            </w:rPr>
            <w:t>Revision Date:</w:t>
          </w:r>
        </w:p>
      </w:tc>
      <w:tc>
        <w:tcPr>
          <w:tcW w:w="2172" w:type="pct"/>
          <w:tcBorders>
            <w:top w:val="outset" w:sz="6" w:space="0" w:color="auto"/>
            <w:left w:val="outset" w:sz="6" w:space="0" w:color="auto"/>
            <w:bottom w:val="outset" w:sz="6" w:space="0" w:color="auto"/>
            <w:right w:val="outset" w:sz="6" w:space="0" w:color="auto"/>
          </w:tcBorders>
          <w:shd w:val="clear" w:color="auto" w:fill="auto"/>
        </w:tcPr>
        <w:p w:rsidR="006E500E" w:rsidRPr="00DC755A" w:rsidRDefault="006E500E" w:rsidP="004B7CD6">
          <w:pPr>
            <w:jc w:val="center"/>
            <w:rPr>
              <w:rFonts w:ascii="Century Gothic" w:hAnsi="Century Gothic"/>
              <w:color w:val="000000"/>
            </w:rPr>
          </w:pPr>
          <w:r w:rsidRPr="00DC755A">
            <w:rPr>
              <w:rFonts w:ascii="Century Gothic" w:hAnsi="Century Gothic"/>
              <w:b/>
              <w:bCs/>
              <w:color w:val="000000"/>
              <w:sz w:val="27"/>
              <w:szCs w:val="27"/>
            </w:rPr>
            <w:t xml:space="preserve">Addresses </w:t>
          </w:r>
        </w:p>
      </w:tc>
    </w:tr>
    <w:tr w:rsidR="006E500E" w:rsidRPr="00DC755A">
      <w:trPr>
        <w:tblCellSpacing w:w="15" w:type="dxa"/>
      </w:trPr>
      <w:tc>
        <w:tcPr>
          <w:tcW w:w="1382" w:type="pct"/>
          <w:tcBorders>
            <w:top w:val="outset" w:sz="6" w:space="0" w:color="auto"/>
            <w:left w:val="outset" w:sz="6" w:space="0" w:color="auto"/>
            <w:bottom w:val="outset" w:sz="6" w:space="0" w:color="auto"/>
            <w:right w:val="outset" w:sz="6" w:space="0" w:color="auto"/>
          </w:tcBorders>
          <w:shd w:val="clear" w:color="auto" w:fill="auto"/>
        </w:tcPr>
        <w:p w:rsidR="006E500E" w:rsidRPr="00DC755A" w:rsidRDefault="006E500E" w:rsidP="004B7CD6">
          <w:pPr>
            <w:jc w:val="center"/>
            <w:rPr>
              <w:rFonts w:ascii="Century Gothic" w:hAnsi="Century Gothic"/>
              <w:color w:val="000000"/>
            </w:rPr>
          </w:pPr>
        </w:p>
      </w:tc>
      <w:tc>
        <w:tcPr>
          <w:tcW w:w="1382" w:type="pct"/>
          <w:tcBorders>
            <w:top w:val="outset" w:sz="6" w:space="0" w:color="auto"/>
            <w:left w:val="outset" w:sz="6" w:space="0" w:color="auto"/>
            <w:bottom w:val="outset" w:sz="6" w:space="0" w:color="auto"/>
            <w:right w:val="outset" w:sz="6" w:space="0" w:color="auto"/>
          </w:tcBorders>
          <w:shd w:val="clear" w:color="auto" w:fill="auto"/>
        </w:tcPr>
        <w:p w:rsidR="006E500E" w:rsidRPr="00DC755A" w:rsidRDefault="006E500E" w:rsidP="004B7CD6">
          <w:pPr>
            <w:jc w:val="center"/>
            <w:rPr>
              <w:rFonts w:ascii="Century Gothic" w:hAnsi="Century Gothic"/>
              <w:color w:val="000000"/>
            </w:rPr>
          </w:pPr>
        </w:p>
      </w:tc>
      <w:tc>
        <w:tcPr>
          <w:tcW w:w="2172" w:type="pct"/>
          <w:tcBorders>
            <w:top w:val="outset" w:sz="6" w:space="0" w:color="auto"/>
            <w:left w:val="outset" w:sz="6" w:space="0" w:color="auto"/>
            <w:bottom w:val="outset" w:sz="6" w:space="0" w:color="auto"/>
            <w:right w:val="outset" w:sz="6" w:space="0" w:color="auto"/>
          </w:tcBorders>
          <w:shd w:val="clear" w:color="auto" w:fill="auto"/>
        </w:tcPr>
        <w:p w:rsidR="006E500E" w:rsidRPr="00DC755A" w:rsidRDefault="006E500E" w:rsidP="004B7CD6">
          <w:pPr>
            <w:rPr>
              <w:rFonts w:ascii="Century Gothic" w:hAnsi="Century Gothic"/>
              <w:color w:val="000000"/>
            </w:rPr>
          </w:pPr>
        </w:p>
      </w:tc>
    </w:tr>
  </w:tbl>
  <w:p w:rsidR="006E500E" w:rsidRPr="00DC755A" w:rsidRDefault="006E500E">
    <w:pPr>
      <w:pStyle w:val="Footer"/>
      <w:rPr>
        <w:rFonts w:ascii="Century Gothic" w:hAnsi="Century Gothic"/>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B42" w:rsidRDefault="00732B42">
      <w:r>
        <w:separator/>
      </w:r>
    </w:p>
  </w:footnote>
  <w:footnote w:type="continuationSeparator" w:id="0">
    <w:p w:rsidR="00732B42" w:rsidRDefault="00732B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00E" w:rsidRPr="00DC755A" w:rsidRDefault="00DC755A" w:rsidP="004B7CD6">
    <w:pPr>
      <w:jc w:val="center"/>
      <w:rPr>
        <w:rFonts w:ascii="Century Gothic" w:hAnsi="Century Gothic"/>
        <w:color w:val="000000"/>
      </w:rPr>
    </w:pPr>
    <w:r w:rsidRPr="00DC755A">
      <w:rPr>
        <w:rFonts w:ascii="Century Gothic" w:hAnsi="Century Gothic"/>
        <w:b/>
        <w:bCs/>
        <w:color w:val="000000"/>
        <w:sz w:val="27"/>
        <w:szCs w:val="27"/>
      </w:rPr>
      <w:t>[Insert facility name]</w:t>
    </w:r>
    <w:r w:rsidR="006E500E" w:rsidRPr="00DC755A">
      <w:rPr>
        <w:rFonts w:ascii="Century Gothic" w:hAnsi="Century Gothic"/>
        <w:b/>
        <w:bCs/>
        <w:color w:val="000000"/>
        <w:sz w:val="27"/>
        <w:szCs w:val="27"/>
      </w:rPr>
      <w:t xml:space="preserve"> Standard Operating Procedure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7745"/>
      <w:gridCol w:w="1735"/>
    </w:tblGrid>
    <w:tr w:rsidR="006E500E" w:rsidRPr="00DC755A">
      <w:trPr>
        <w:tblCellSpacing w:w="15" w:type="dxa"/>
      </w:trPr>
      <w:tc>
        <w:tcPr>
          <w:tcW w:w="4061" w:type="pct"/>
          <w:tcBorders>
            <w:top w:val="outset" w:sz="6" w:space="0" w:color="auto"/>
            <w:left w:val="outset" w:sz="6" w:space="0" w:color="auto"/>
            <w:bottom w:val="outset" w:sz="6" w:space="0" w:color="auto"/>
            <w:right w:val="outset" w:sz="6" w:space="0" w:color="auto"/>
          </w:tcBorders>
          <w:shd w:val="clear" w:color="auto" w:fill="auto"/>
        </w:tcPr>
        <w:p w:rsidR="006E500E" w:rsidRPr="00243028" w:rsidRDefault="006E500E" w:rsidP="002B7B3C">
          <w:pPr>
            <w:rPr>
              <w:rFonts w:ascii="Century Gothic" w:hAnsi="Century Gothic"/>
              <w:b/>
              <w:color w:val="000000"/>
            </w:rPr>
          </w:pPr>
          <w:r w:rsidRPr="00243028">
            <w:rPr>
              <w:rFonts w:ascii="Century Gothic" w:hAnsi="Century Gothic"/>
              <w:b/>
              <w:bCs/>
              <w:color w:val="000000"/>
            </w:rPr>
            <w:t xml:space="preserve">SOP TITLE:  </w:t>
          </w:r>
          <w:r w:rsidR="00243028" w:rsidRPr="00243028">
            <w:rPr>
              <w:rFonts w:ascii="Century Gothic" w:hAnsi="Century Gothic"/>
              <w:b/>
            </w:rPr>
            <w:t>Study Termination Visit</w:t>
          </w:r>
        </w:p>
      </w:tc>
      <w:tc>
        <w:tcPr>
          <w:tcW w:w="891" w:type="pct"/>
          <w:tcBorders>
            <w:top w:val="outset" w:sz="6" w:space="0" w:color="auto"/>
            <w:left w:val="outset" w:sz="6" w:space="0" w:color="auto"/>
            <w:bottom w:val="outset" w:sz="6" w:space="0" w:color="auto"/>
            <w:right w:val="outset" w:sz="6" w:space="0" w:color="auto"/>
          </w:tcBorders>
          <w:shd w:val="clear" w:color="auto" w:fill="auto"/>
        </w:tcPr>
        <w:p w:rsidR="006E500E" w:rsidRPr="00DC755A" w:rsidRDefault="006E500E" w:rsidP="004B7CD6">
          <w:pPr>
            <w:jc w:val="center"/>
            <w:rPr>
              <w:rFonts w:ascii="Century Gothic" w:hAnsi="Century Gothic"/>
              <w:b/>
              <w:color w:val="000000"/>
            </w:rPr>
          </w:pPr>
          <w:r w:rsidRPr="00DC755A">
            <w:rPr>
              <w:rFonts w:ascii="Century Gothic" w:hAnsi="Century Gothic"/>
              <w:b/>
              <w:bCs/>
              <w:color w:val="000000"/>
            </w:rPr>
            <w:t>Version # 1</w:t>
          </w:r>
        </w:p>
      </w:tc>
    </w:tr>
    <w:tr w:rsidR="006E500E" w:rsidRPr="00DC755A">
      <w:trPr>
        <w:tblCellSpacing w:w="15" w:type="dxa"/>
      </w:trPr>
      <w:tc>
        <w:tcPr>
          <w:tcW w:w="4061" w:type="pct"/>
          <w:tcBorders>
            <w:top w:val="outset" w:sz="6" w:space="0" w:color="auto"/>
            <w:left w:val="outset" w:sz="6" w:space="0" w:color="auto"/>
            <w:bottom w:val="outset" w:sz="6" w:space="0" w:color="auto"/>
            <w:right w:val="outset" w:sz="6" w:space="0" w:color="auto"/>
          </w:tcBorders>
          <w:shd w:val="clear" w:color="auto" w:fill="auto"/>
        </w:tcPr>
        <w:p w:rsidR="006E500E" w:rsidRPr="00DC755A" w:rsidRDefault="006E500E" w:rsidP="004B7CD6">
          <w:pPr>
            <w:rPr>
              <w:rFonts w:ascii="Century Gothic" w:hAnsi="Century Gothic"/>
              <w:b/>
              <w:color w:val="000000"/>
            </w:rPr>
          </w:pPr>
          <w:r w:rsidRPr="00DC755A">
            <w:rPr>
              <w:rFonts w:ascii="Century Gothic" w:hAnsi="Century Gothic"/>
              <w:b/>
              <w:color w:val="000000"/>
            </w:rPr>
            <w:t xml:space="preserve">SOP NUMBER:  </w:t>
          </w:r>
        </w:p>
      </w:tc>
      <w:tc>
        <w:tcPr>
          <w:tcW w:w="891" w:type="pct"/>
          <w:tcBorders>
            <w:top w:val="outset" w:sz="6" w:space="0" w:color="auto"/>
            <w:left w:val="outset" w:sz="6" w:space="0" w:color="auto"/>
            <w:bottom w:val="outset" w:sz="6" w:space="0" w:color="auto"/>
            <w:right w:val="outset" w:sz="6" w:space="0" w:color="auto"/>
          </w:tcBorders>
          <w:shd w:val="clear" w:color="auto" w:fill="auto"/>
        </w:tcPr>
        <w:p w:rsidR="006E500E" w:rsidRPr="00DC755A" w:rsidRDefault="0024539A" w:rsidP="004B7CD6">
          <w:pPr>
            <w:jc w:val="center"/>
            <w:rPr>
              <w:rFonts w:ascii="Century Gothic" w:hAnsi="Century Gothic"/>
              <w:b/>
              <w:color w:val="000000"/>
            </w:rPr>
          </w:pPr>
          <w:r>
            <w:rPr>
              <w:rFonts w:ascii="Century Gothic" w:hAnsi="Century Gothic"/>
              <w:b/>
              <w:noProof/>
              <w:color w:val="000000"/>
            </w:rPr>
            <w:drawing>
              <wp:inline distT="0" distB="0" distL="0" distR="0">
                <wp:extent cx="9525" cy="9525"/>
                <wp:effectExtent l="0" t="0" r="0" b="0"/>
                <wp:docPr id="1" name="Picture 1" descr="http://marlowe.mc.duke.edu/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rlowe.mc.duke.edu/icons/ecblank.gif"/>
                        <pic:cNvPicPr>
                          <a:picLocks noChangeAspect="1" noChangeArrowheads="1"/>
                        </pic:cNvPicPr>
                      </pic:nvPicPr>
                      <pic:blipFill>
                        <a:blip r:embed="rId1" r:link="rId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6E500E" w:rsidRPr="00DC755A">
            <w:rPr>
              <w:rFonts w:ascii="Century Gothic" w:hAnsi="Century Gothic"/>
              <w:b/>
              <w:color w:val="000000"/>
            </w:rPr>
            <w:t xml:space="preserve">Page </w:t>
          </w:r>
          <w:r w:rsidR="0054156B" w:rsidRPr="00DC755A">
            <w:rPr>
              <w:rFonts w:ascii="Century Gothic" w:hAnsi="Century Gothic"/>
              <w:b/>
              <w:color w:val="000000"/>
            </w:rPr>
            <w:fldChar w:fldCharType="begin"/>
          </w:r>
          <w:r w:rsidR="006E500E" w:rsidRPr="00DC755A">
            <w:rPr>
              <w:rFonts w:ascii="Century Gothic" w:hAnsi="Century Gothic"/>
              <w:b/>
              <w:color w:val="000000"/>
            </w:rPr>
            <w:instrText xml:space="preserve"> PAGE </w:instrText>
          </w:r>
          <w:r w:rsidR="0054156B" w:rsidRPr="00DC755A">
            <w:rPr>
              <w:rFonts w:ascii="Century Gothic" w:hAnsi="Century Gothic"/>
              <w:b/>
              <w:color w:val="000000"/>
            </w:rPr>
            <w:fldChar w:fldCharType="separate"/>
          </w:r>
          <w:r w:rsidR="00780264">
            <w:rPr>
              <w:rFonts w:ascii="Century Gothic" w:hAnsi="Century Gothic"/>
              <w:b/>
              <w:noProof/>
              <w:color w:val="000000"/>
            </w:rPr>
            <w:t>2</w:t>
          </w:r>
          <w:r w:rsidR="0054156B" w:rsidRPr="00DC755A">
            <w:rPr>
              <w:rFonts w:ascii="Century Gothic" w:hAnsi="Century Gothic"/>
              <w:b/>
              <w:color w:val="000000"/>
            </w:rPr>
            <w:fldChar w:fldCharType="end"/>
          </w:r>
          <w:r w:rsidR="006E500E" w:rsidRPr="00DC755A">
            <w:rPr>
              <w:rFonts w:ascii="Century Gothic" w:hAnsi="Century Gothic"/>
              <w:b/>
              <w:color w:val="000000"/>
            </w:rPr>
            <w:t xml:space="preserve"> of </w:t>
          </w:r>
          <w:r w:rsidR="0054156B" w:rsidRPr="00DC755A">
            <w:rPr>
              <w:rFonts w:ascii="Century Gothic" w:hAnsi="Century Gothic"/>
              <w:b/>
              <w:color w:val="000000"/>
            </w:rPr>
            <w:fldChar w:fldCharType="begin"/>
          </w:r>
          <w:r w:rsidR="006E500E" w:rsidRPr="00DC755A">
            <w:rPr>
              <w:rFonts w:ascii="Century Gothic" w:hAnsi="Century Gothic"/>
              <w:b/>
              <w:color w:val="000000"/>
            </w:rPr>
            <w:instrText xml:space="preserve"> NUMPAGES </w:instrText>
          </w:r>
          <w:r w:rsidR="0054156B" w:rsidRPr="00DC755A">
            <w:rPr>
              <w:rFonts w:ascii="Century Gothic" w:hAnsi="Century Gothic"/>
              <w:b/>
              <w:color w:val="000000"/>
            </w:rPr>
            <w:fldChar w:fldCharType="separate"/>
          </w:r>
          <w:r w:rsidR="00780264">
            <w:rPr>
              <w:rFonts w:ascii="Century Gothic" w:hAnsi="Century Gothic"/>
              <w:b/>
              <w:noProof/>
              <w:color w:val="000000"/>
            </w:rPr>
            <w:t>2</w:t>
          </w:r>
          <w:r w:rsidR="0054156B" w:rsidRPr="00DC755A">
            <w:rPr>
              <w:rFonts w:ascii="Century Gothic" w:hAnsi="Century Gothic"/>
              <w:b/>
              <w:color w:val="000000"/>
            </w:rPr>
            <w:fldChar w:fldCharType="end"/>
          </w:r>
        </w:p>
      </w:tc>
    </w:tr>
  </w:tbl>
  <w:p w:rsidR="00DC755A" w:rsidRDefault="00DC755A" w:rsidP="00DC755A">
    <w:pPr>
      <w:pStyle w:val="Header"/>
      <w:jc w:val="center"/>
      <w:rPr>
        <w:rFonts w:ascii="Century Gothic" w:hAnsi="Century Gothic"/>
        <w:sz w:val="18"/>
        <w:szCs w:val="18"/>
      </w:rPr>
    </w:pPr>
  </w:p>
  <w:p w:rsidR="006E500E" w:rsidRDefault="006E50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22AD"/>
    <w:multiLevelType w:val="hybridMultilevel"/>
    <w:tmpl w:val="E9C6FCFE"/>
    <w:lvl w:ilvl="0" w:tplc="055CDC9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026B7938"/>
    <w:multiLevelType w:val="hybridMultilevel"/>
    <w:tmpl w:val="7400B824"/>
    <w:lvl w:ilvl="0" w:tplc="6FCECB8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D841F5"/>
    <w:multiLevelType w:val="hybridMultilevel"/>
    <w:tmpl w:val="E090A070"/>
    <w:lvl w:ilvl="0" w:tplc="B71A1430">
      <w:start w:val="1"/>
      <w:numFmt w:val="decimal"/>
      <w:lvlText w:val="%1."/>
      <w:lvlJc w:val="left"/>
      <w:pPr>
        <w:tabs>
          <w:tab w:val="num" w:pos="360"/>
        </w:tabs>
        <w:ind w:left="360" w:hanging="360"/>
      </w:pPr>
      <w:rPr>
        <w:rFonts w:hint="default"/>
        <w:b/>
      </w:rPr>
    </w:lvl>
    <w:lvl w:ilvl="1" w:tplc="04090005">
      <w:start w:val="1"/>
      <w:numFmt w:val="bullet"/>
      <w:lvlText w:val=""/>
      <w:lvlJc w:val="left"/>
      <w:pPr>
        <w:tabs>
          <w:tab w:val="num" w:pos="1080"/>
        </w:tabs>
        <w:ind w:left="1080" w:hanging="360"/>
      </w:pPr>
      <w:rPr>
        <w:rFonts w:ascii="Wingdings" w:hAnsi="Wingding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5E85339"/>
    <w:multiLevelType w:val="hybridMultilevel"/>
    <w:tmpl w:val="8304A4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A16988"/>
    <w:multiLevelType w:val="hybridMultilevel"/>
    <w:tmpl w:val="BB506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BA11DB"/>
    <w:multiLevelType w:val="hybridMultilevel"/>
    <w:tmpl w:val="728826EA"/>
    <w:lvl w:ilvl="0" w:tplc="BAE0A540">
      <w:start w:val="1"/>
      <w:numFmt w:val="bullet"/>
      <w:lvlText w:val=""/>
      <w:lvlJc w:val="left"/>
      <w:pPr>
        <w:tabs>
          <w:tab w:val="num" w:pos="720"/>
        </w:tabs>
        <w:ind w:left="720" w:hanging="432"/>
      </w:pPr>
      <w:rPr>
        <w:rFonts w:ascii="Symbol" w:hAnsi="Symbol" w:cs="Wingdings"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nsid w:val="23DE2B62"/>
    <w:multiLevelType w:val="hybridMultilevel"/>
    <w:tmpl w:val="1BC26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D13107"/>
    <w:multiLevelType w:val="hybridMultilevel"/>
    <w:tmpl w:val="D0DABF0C"/>
    <w:lvl w:ilvl="0" w:tplc="A82E8A30">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DC6400E"/>
    <w:multiLevelType w:val="hybridMultilevel"/>
    <w:tmpl w:val="124A1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587C89"/>
    <w:multiLevelType w:val="hybridMultilevel"/>
    <w:tmpl w:val="DBDACFAE"/>
    <w:lvl w:ilvl="0" w:tplc="5DAE5E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7B96D33"/>
    <w:multiLevelType w:val="hybridMultilevel"/>
    <w:tmpl w:val="E450872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nsid w:val="3D855884"/>
    <w:multiLevelType w:val="multilevel"/>
    <w:tmpl w:val="73CCF3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0E01A71"/>
    <w:multiLevelType w:val="hybridMultilevel"/>
    <w:tmpl w:val="DEF26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D0449A"/>
    <w:multiLevelType w:val="hybridMultilevel"/>
    <w:tmpl w:val="2E3E8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61F5003"/>
    <w:multiLevelType w:val="singleLevel"/>
    <w:tmpl w:val="0409000D"/>
    <w:lvl w:ilvl="0">
      <w:start w:val="1"/>
      <w:numFmt w:val="bullet"/>
      <w:lvlText w:val=""/>
      <w:lvlJc w:val="left"/>
      <w:pPr>
        <w:ind w:left="720" w:hanging="360"/>
      </w:pPr>
      <w:rPr>
        <w:rFonts w:ascii="Wingdings" w:hAnsi="Wingdings" w:hint="default"/>
      </w:rPr>
    </w:lvl>
  </w:abstractNum>
  <w:abstractNum w:abstractNumId="15">
    <w:nsid w:val="47F07403"/>
    <w:multiLevelType w:val="hybridMultilevel"/>
    <w:tmpl w:val="94EC9128"/>
    <w:lvl w:ilvl="0" w:tplc="04090001">
      <w:start w:val="1"/>
      <w:numFmt w:val="bullet"/>
      <w:lvlText w:val=""/>
      <w:lvlJc w:val="left"/>
      <w:pPr>
        <w:ind w:left="4390" w:hanging="360"/>
      </w:pPr>
      <w:rPr>
        <w:rFonts w:ascii="Symbol" w:hAnsi="Symbol" w:hint="default"/>
      </w:rPr>
    </w:lvl>
    <w:lvl w:ilvl="1" w:tplc="04090003">
      <w:start w:val="1"/>
      <w:numFmt w:val="bullet"/>
      <w:lvlText w:val="o"/>
      <w:lvlJc w:val="left"/>
      <w:pPr>
        <w:ind w:left="5110" w:hanging="360"/>
      </w:pPr>
      <w:rPr>
        <w:rFonts w:ascii="Courier New" w:hAnsi="Courier New" w:cs="Courier New" w:hint="default"/>
      </w:rPr>
    </w:lvl>
    <w:lvl w:ilvl="2" w:tplc="04090005" w:tentative="1">
      <w:start w:val="1"/>
      <w:numFmt w:val="bullet"/>
      <w:lvlText w:val=""/>
      <w:lvlJc w:val="left"/>
      <w:pPr>
        <w:ind w:left="5830" w:hanging="360"/>
      </w:pPr>
      <w:rPr>
        <w:rFonts w:ascii="Wingdings" w:hAnsi="Wingdings" w:hint="default"/>
      </w:rPr>
    </w:lvl>
    <w:lvl w:ilvl="3" w:tplc="04090001" w:tentative="1">
      <w:start w:val="1"/>
      <w:numFmt w:val="bullet"/>
      <w:lvlText w:val=""/>
      <w:lvlJc w:val="left"/>
      <w:pPr>
        <w:ind w:left="6550" w:hanging="360"/>
      </w:pPr>
      <w:rPr>
        <w:rFonts w:ascii="Symbol" w:hAnsi="Symbol" w:hint="default"/>
      </w:rPr>
    </w:lvl>
    <w:lvl w:ilvl="4" w:tplc="04090003" w:tentative="1">
      <w:start w:val="1"/>
      <w:numFmt w:val="bullet"/>
      <w:lvlText w:val="o"/>
      <w:lvlJc w:val="left"/>
      <w:pPr>
        <w:ind w:left="7270" w:hanging="360"/>
      </w:pPr>
      <w:rPr>
        <w:rFonts w:ascii="Courier New" w:hAnsi="Courier New" w:cs="Courier New" w:hint="default"/>
      </w:rPr>
    </w:lvl>
    <w:lvl w:ilvl="5" w:tplc="04090005" w:tentative="1">
      <w:start w:val="1"/>
      <w:numFmt w:val="bullet"/>
      <w:lvlText w:val=""/>
      <w:lvlJc w:val="left"/>
      <w:pPr>
        <w:ind w:left="7990" w:hanging="360"/>
      </w:pPr>
      <w:rPr>
        <w:rFonts w:ascii="Wingdings" w:hAnsi="Wingdings" w:hint="default"/>
      </w:rPr>
    </w:lvl>
    <w:lvl w:ilvl="6" w:tplc="04090001" w:tentative="1">
      <w:start w:val="1"/>
      <w:numFmt w:val="bullet"/>
      <w:lvlText w:val=""/>
      <w:lvlJc w:val="left"/>
      <w:pPr>
        <w:ind w:left="8710" w:hanging="360"/>
      </w:pPr>
      <w:rPr>
        <w:rFonts w:ascii="Symbol" w:hAnsi="Symbol" w:hint="default"/>
      </w:rPr>
    </w:lvl>
    <w:lvl w:ilvl="7" w:tplc="04090003" w:tentative="1">
      <w:start w:val="1"/>
      <w:numFmt w:val="bullet"/>
      <w:lvlText w:val="o"/>
      <w:lvlJc w:val="left"/>
      <w:pPr>
        <w:ind w:left="9430" w:hanging="360"/>
      </w:pPr>
      <w:rPr>
        <w:rFonts w:ascii="Courier New" w:hAnsi="Courier New" w:cs="Courier New" w:hint="default"/>
      </w:rPr>
    </w:lvl>
    <w:lvl w:ilvl="8" w:tplc="04090005" w:tentative="1">
      <w:start w:val="1"/>
      <w:numFmt w:val="bullet"/>
      <w:lvlText w:val=""/>
      <w:lvlJc w:val="left"/>
      <w:pPr>
        <w:ind w:left="10150" w:hanging="360"/>
      </w:pPr>
      <w:rPr>
        <w:rFonts w:ascii="Wingdings" w:hAnsi="Wingdings" w:hint="default"/>
      </w:rPr>
    </w:lvl>
  </w:abstractNum>
  <w:abstractNum w:abstractNumId="16">
    <w:nsid w:val="49C957A0"/>
    <w:multiLevelType w:val="hybridMultilevel"/>
    <w:tmpl w:val="A62ED00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4B955FAD"/>
    <w:multiLevelType w:val="multilevel"/>
    <w:tmpl w:val="8E60809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C7F7852"/>
    <w:multiLevelType w:val="hybridMultilevel"/>
    <w:tmpl w:val="49B05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921605"/>
    <w:multiLevelType w:val="hybridMultilevel"/>
    <w:tmpl w:val="71BC91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2D97CA6"/>
    <w:multiLevelType w:val="hybridMultilevel"/>
    <w:tmpl w:val="6A001F76"/>
    <w:lvl w:ilvl="0" w:tplc="8E5A859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nsid w:val="74595E00"/>
    <w:multiLevelType w:val="hybridMultilevel"/>
    <w:tmpl w:val="DE6A4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5120BAC"/>
    <w:multiLevelType w:val="hybridMultilevel"/>
    <w:tmpl w:val="AFB8A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3"/>
  </w:num>
  <w:num w:numId="3">
    <w:abstractNumId w:val="19"/>
  </w:num>
  <w:num w:numId="4">
    <w:abstractNumId w:val="12"/>
  </w:num>
  <w:num w:numId="5">
    <w:abstractNumId w:val="8"/>
  </w:num>
  <w:num w:numId="6">
    <w:abstractNumId w:val="6"/>
  </w:num>
  <w:num w:numId="7">
    <w:abstractNumId w:val="0"/>
  </w:num>
  <w:num w:numId="8">
    <w:abstractNumId w:val="11"/>
  </w:num>
  <w:num w:numId="9">
    <w:abstractNumId w:val="9"/>
  </w:num>
  <w:num w:numId="10">
    <w:abstractNumId w:val="10"/>
  </w:num>
  <w:num w:numId="11">
    <w:abstractNumId w:val="1"/>
  </w:num>
  <w:num w:numId="12">
    <w:abstractNumId w:val="4"/>
  </w:num>
  <w:num w:numId="13">
    <w:abstractNumId w:val="13"/>
  </w:num>
  <w:num w:numId="14">
    <w:abstractNumId w:val="20"/>
  </w:num>
  <w:num w:numId="15">
    <w:abstractNumId w:val="2"/>
  </w:num>
  <w:num w:numId="16">
    <w:abstractNumId w:val="7"/>
  </w:num>
  <w:num w:numId="17">
    <w:abstractNumId w:val="5"/>
  </w:num>
  <w:num w:numId="18">
    <w:abstractNumId w:val="14"/>
  </w:num>
  <w:num w:numId="19">
    <w:abstractNumId w:val="22"/>
  </w:num>
  <w:num w:numId="20">
    <w:abstractNumId w:val="21"/>
  </w:num>
  <w:num w:numId="21">
    <w:abstractNumId w:val="15"/>
  </w:num>
  <w:num w:numId="22">
    <w:abstractNumId w:val="17"/>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CD5CA6"/>
    <w:rsid w:val="00061787"/>
    <w:rsid w:val="000A217D"/>
    <w:rsid w:val="000F1BA2"/>
    <w:rsid w:val="001873E9"/>
    <w:rsid w:val="001A7700"/>
    <w:rsid w:val="00230A9D"/>
    <w:rsid w:val="00243028"/>
    <w:rsid w:val="0024539A"/>
    <w:rsid w:val="002665F9"/>
    <w:rsid w:val="002B7B3C"/>
    <w:rsid w:val="002D428A"/>
    <w:rsid w:val="002D7792"/>
    <w:rsid w:val="003B5DB0"/>
    <w:rsid w:val="00437A8A"/>
    <w:rsid w:val="004B7CD6"/>
    <w:rsid w:val="004F75CE"/>
    <w:rsid w:val="0054156B"/>
    <w:rsid w:val="005D591B"/>
    <w:rsid w:val="00603B35"/>
    <w:rsid w:val="006B6EFB"/>
    <w:rsid w:val="006E500E"/>
    <w:rsid w:val="006F26C1"/>
    <w:rsid w:val="00732B42"/>
    <w:rsid w:val="00780264"/>
    <w:rsid w:val="007E2A63"/>
    <w:rsid w:val="00993D9C"/>
    <w:rsid w:val="009E1AA9"/>
    <w:rsid w:val="009F1041"/>
    <w:rsid w:val="00AE2FD6"/>
    <w:rsid w:val="00B54859"/>
    <w:rsid w:val="00B7218E"/>
    <w:rsid w:val="00C2345A"/>
    <w:rsid w:val="00C2518B"/>
    <w:rsid w:val="00C30ADF"/>
    <w:rsid w:val="00CD5CA6"/>
    <w:rsid w:val="00CF4882"/>
    <w:rsid w:val="00D04EE6"/>
    <w:rsid w:val="00D103FD"/>
    <w:rsid w:val="00DC755A"/>
    <w:rsid w:val="00E70A3F"/>
    <w:rsid w:val="00EA3248"/>
    <w:rsid w:val="00F12640"/>
    <w:rsid w:val="00F51E91"/>
    <w:rsid w:val="00FC3639"/>
    <w:rsid w:val="00FC4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1041"/>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F1041"/>
    <w:pPr>
      <w:spacing w:before="60" w:after="120" w:line="360" w:lineRule="atLeast"/>
      <w:ind w:left="60"/>
    </w:pPr>
    <w:rPr>
      <w:rFonts w:ascii="Verdana" w:hAnsi="Verdana"/>
      <w:color w:val="000000"/>
      <w:sz w:val="20"/>
      <w:szCs w:val="20"/>
    </w:rPr>
  </w:style>
  <w:style w:type="paragraph" w:styleId="Header">
    <w:name w:val="header"/>
    <w:basedOn w:val="Normal"/>
    <w:rsid w:val="00437A8A"/>
    <w:pPr>
      <w:tabs>
        <w:tab w:val="center" w:pos="4320"/>
        <w:tab w:val="right" w:pos="8640"/>
      </w:tabs>
    </w:pPr>
  </w:style>
  <w:style w:type="paragraph" w:styleId="Footer">
    <w:name w:val="footer"/>
    <w:basedOn w:val="Normal"/>
    <w:rsid w:val="00437A8A"/>
    <w:pPr>
      <w:tabs>
        <w:tab w:val="center" w:pos="4320"/>
        <w:tab w:val="right" w:pos="8640"/>
      </w:tabs>
    </w:pPr>
  </w:style>
  <w:style w:type="paragraph" w:styleId="BalloonText">
    <w:name w:val="Balloon Text"/>
    <w:basedOn w:val="Normal"/>
    <w:semiHidden/>
    <w:rsid w:val="006E500E"/>
    <w:rPr>
      <w:rFonts w:ascii="Tahoma" w:hAnsi="Tahoma" w:cs="Tahoma"/>
      <w:sz w:val="16"/>
      <w:szCs w:val="16"/>
    </w:rPr>
  </w:style>
  <w:style w:type="character" w:styleId="Hyperlink">
    <w:name w:val="Hyperlink"/>
    <w:basedOn w:val="DefaultParagraphFont"/>
    <w:rsid w:val="00F51E91"/>
    <w:rPr>
      <w:color w:val="0000FF" w:themeColor="hyperlink"/>
      <w:u w:val="single"/>
    </w:rPr>
  </w:style>
  <w:style w:type="paragraph" w:styleId="BodyTextIndent">
    <w:name w:val="Body Text Indent"/>
    <w:basedOn w:val="Normal"/>
    <w:link w:val="BodyTextIndentChar"/>
    <w:rsid w:val="002B7B3C"/>
    <w:pPr>
      <w:spacing w:after="120"/>
      <w:ind w:left="360"/>
    </w:pPr>
  </w:style>
  <w:style w:type="character" w:customStyle="1" w:styleId="BodyTextIndentChar">
    <w:name w:val="Body Text Indent Char"/>
    <w:basedOn w:val="DefaultParagraphFont"/>
    <w:link w:val="BodyTextIndent"/>
    <w:rsid w:val="002B7B3C"/>
    <w:rPr>
      <w:sz w:val="24"/>
      <w:szCs w:val="24"/>
    </w:rPr>
  </w:style>
  <w:style w:type="paragraph" w:styleId="BodyText">
    <w:name w:val="Body Text"/>
    <w:basedOn w:val="Normal"/>
    <w:link w:val="BodyTextChar"/>
    <w:rsid w:val="00243028"/>
    <w:pPr>
      <w:spacing w:after="120"/>
    </w:pPr>
  </w:style>
  <w:style w:type="character" w:customStyle="1" w:styleId="BodyTextChar">
    <w:name w:val="Body Text Char"/>
    <w:basedOn w:val="DefaultParagraphFont"/>
    <w:link w:val="BodyText"/>
    <w:rsid w:val="00243028"/>
    <w:rPr>
      <w:sz w:val="24"/>
      <w:szCs w:val="24"/>
    </w:rPr>
  </w:style>
  <w:style w:type="paragraph" w:styleId="ListParagraph">
    <w:name w:val="List Paragraph"/>
    <w:basedOn w:val="Normal"/>
    <w:uiPriority w:val="34"/>
    <w:qFormat/>
    <w:rsid w:val="00243028"/>
    <w:pPr>
      <w:ind w:left="720"/>
      <w:contextualSpacing/>
    </w:pPr>
  </w:style>
</w:styles>
</file>

<file path=word/webSettings.xml><?xml version="1.0" encoding="utf-8"?>
<w:webSettings xmlns:r="http://schemas.openxmlformats.org/officeDocument/2006/relationships" xmlns:w="http://schemas.openxmlformats.org/wordprocessingml/2006/main">
  <w:divs>
    <w:div w:id="195875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marlowe.mc.duke.edu/icons/ecblank.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E8B760E2DF244AA350C226C42F9E2A" ma:contentTypeVersion="1" ma:contentTypeDescription="Create a new document." ma:contentTypeScope="" ma:versionID="4e191a84a32009558f239e3968aadc1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05836B-40B6-4BED-9BA3-BF21C5B4DC59}"/>
</file>

<file path=customXml/itemProps2.xml><?xml version="1.0" encoding="utf-8"?>
<ds:datastoreItem xmlns:ds="http://schemas.openxmlformats.org/officeDocument/2006/customXml" ds:itemID="{1B32DE08-1F9B-4D08-8298-B8A0249F9C47}"/>
</file>

<file path=customXml/itemProps3.xml><?xml version="1.0" encoding="utf-8"?>
<ds:datastoreItem xmlns:ds="http://schemas.openxmlformats.org/officeDocument/2006/customXml" ds:itemID="{EE3BE806-5FED-49B8-AE59-7ADA4EC4411B}"/>
</file>

<file path=docProps/app.xml><?xml version="1.0" encoding="utf-8"?>
<Properties xmlns="http://schemas.openxmlformats.org/officeDocument/2006/extended-properties" xmlns:vt="http://schemas.openxmlformats.org/officeDocument/2006/docPropsVTypes">
  <Template>Normal.dotm</Template>
  <TotalTime>10</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Duke Standard Operating Procedure Template</vt:lpstr>
    </vt:vector>
  </TitlesOfParts>
  <Company>School of Medicine</Company>
  <LinksUpToDate>false</LinksUpToDate>
  <CharactersWithSpaces>4251</CharactersWithSpaces>
  <SharedDoc>false</SharedDoc>
  <HLinks>
    <vt:vector size="6" baseType="variant">
      <vt:variant>
        <vt:i4>262224</vt:i4>
      </vt:variant>
      <vt:variant>
        <vt:i4>5993</vt:i4>
      </vt:variant>
      <vt:variant>
        <vt:i4>1025</vt:i4>
      </vt:variant>
      <vt:variant>
        <vt:i4>1</vt:i4>
      </vt:variant>
      <vt:variant>
        <vt:lpwstr>http://marlowe.mc.duke.edu/icons/ecblank.gif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Duke Standard Operating Procedure Template</dc:title>
  <dc:subject/>
  <dc:creator>moori001</dc:creator>
  <cp:keywords/>
  <dc:description/>
  <cp:lastModifiedBy>q729368</cp:lastModifiedBy>
  <cp:revision>4</cp:revision>
  <cp:lastPrinted>2006-09-25T21:07:00Z</cp:lastPrinted>
  <dcterms:created xsi:type="dcterms:W3CDTF">2014-02-16T19:18:00Z</dcterms:created>
  <dcterms:modified xsi:type="dcterms:W3CDTF">2014-02-16T19:28:00Z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0x01010052E8B760E2DF244AA350C226C42F9E2A</vt:lpwstr>
  </property>
</Properties>
</file>